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83BE" w14:textId="77777777" w:rsidR="00807305" w:rsidRDefault="00670AF7" w:rsidP="00807305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 w:bidi="en-US"/>
        </w:rPr>
        <w:t>Rhetoric in Law – Are We Talking About the Same T</w:t>
      </w:r>
      <w:r w:rsidR="00807305" w:rsidRPr="00AF35E0">
        <w:rPr>
          <w:rFonts w:ascii="Times New Roman" w:eastAsia="Times New Roman" w:hAnsi="Times New Roman" w:cs="Times New Roman"/>
          <w:b/>
          <w:lang w:val="en-US" w:bidi="en-US"/>
        </w:rPr>
        <w:t xml:space="preserve">hing? </w:t>
      </w:r>
    </w:p>
    <w:p w14:paraId="6B56ECC8" w14:textId="77777777" w:rsidR="00807305" w:rsidRPr="00F90C27" w:rsidRDefault="00807305" w:rsidP="0080730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0C6AFEB" w14:textId="77777777" w:rsidR="00A51134" w:rsidRPr="00670AF7" w:rsidRDefault="00807305" w:rsidP="00807305">
      <w:pPr>
        <w:spacing w:line="360" w:lineRule="auto"/>
        <w:rPr>
          <w:rFonts w:ascii="Times New Roman" w:hAnsi="Times New Roman" w:cs="Times New Roman"/>
          <w:lang w:val="en-US"/>
        </w:rPr>
      </w:pPr>
      <w:r w:rsidRPr="0014721E">
        <w:rPr>
          <w:rFonts w:ascii="Times New Roman" w:eastAsia="Times New Roman" w:hAnsi="Times New Roman" w:cs="Times New Roman"/>
          <w:lang w:val="en-US" w:bidi="en-US"/>
        </w:rPr>
        <w:t xml:space="preserve">The bond between law and rhetoric is as </w:t>
      </w:r>
      <w:r w:rsidR="00801854">
        <w:rPr>
          <w:rFonts w:ascii="Times New Roman" w:eastAsia="Times New Roman" w:hAnsi="Times New Roman" w:cs="Times New Roman"/>
          <w:lang w:val="en-US" w:bidi="en-US"/>
        </w:rPr>
        <w:t xml:space="preserve">old as the subjects themselves. </w:t>
      </w:r>
      <w:r w:rsidRPr="0014721E">
        <w:rPr>
          <w:rFonts w:ascii="Times New Roman" w:eastAsia="Times New Roman" w:hAnsi="Times New Roman" w:cs="Times New Roman"/>
          <w:lang w:val="en-US" w:bidi="en-US"/>
        </w:rPr>
        <w:t>Speechwriters composed procedures in the courts of Athens</w:t>
      </w:r>
      <w:r w:rsidR="00801854">
        <w:rPr>
          <w:rFonts w:ascii="Times New Roman" w:eastAsia="Times New Roman" w:hAnsi="Times New Roman" w:cs="Times New Roman"/>
          <w:lang w:val="en-US" w:bidi="en-US"/>
        </w:rPr>
        <w:t>,</w:t>
      </w:r>
      <w:r w:rsidRPr="0014721E">
        <w:rPr>
          <w:rFonts w:ascii="Times New Roman" w:eastAsia="Times New Roman" w:hAnsi="Times New Roman" w:cs="Times New Roman"/>
          <w:lang w:val="en-US" w:bidi="en-US"/>
        </w:rPr>
        <w:t xml:space="preserve"> and it was at the schools of rhetorics in Rome that budding lawyers were taught. Today rhetoric is a part of the curriculum at a number of law schools, typically integrated into clinical courses such as legal writing but also in the training of students for the international moot courts.</w:t>
      </w:r>
    </w:p>
    <w:p w14:paraId="61577634" w14:textId="5A4AF701" w:rsidR="00634C16" w:rsidRPr="00F90C27" w:rsidRDefault="00807305" w:rsidP="00634C16">
      <w:pPr>
        <w:spacing w:line="360" w:lineRule="auto"/>
        <w:ind w:firstLine="567"/>
        <w:rPr>
          <w:rFonts w:ascii="Times New Roman" w:eastAsia="Times New Roman" w:hAnsi="Times New Roman" w:cs="Times New Roman"/>
          <w:color w:val="4A4949"/>
          <w:shd w:val="clear" w:color="auto" w:fill="FFFFFF"/>
          <w:lang w:val="en-US"/>
        </w:rPr>
      </w:pPr>
      <w:r w:rsidRPr="0014721E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Especially the ancient works on legal rhetoric afford a too </w:t>
      </w:r>
      <w:r w:rsidRPr="00694285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narrow</w:t>
      </w:r>
      <w:r w:rsidRPr="0014721E">
        <w:rPr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t xml:space="preserve"> </w:t>
      </w:r>
      <w:r w:rsidRPr="0014721E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depiction of the </w:t>
      </w:r>
      <w:r w:rsidR="00977E38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interaction </w:t>
      </w:r>
      <w:r w:rsidRPr="0014721E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between </w:t>
      </w:r>
      <w:r w:rsidR="00694285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law and rhetoric. </w:t>
      </w:r>
      <w:r w:rsidRPr="0014721E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In the majority of the classical works (but also in many modern handbooks</w:t>
      </w:r>
      <w:r w:rsidR="00782E03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, textbooks and periodicals)</w:t>
      </w:r>
      <w:r w:rsidRPr="0014721E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legal rhetoric is represented as a purely instrumental discipline of communication in court. Or as the American attorney Franklin R. Weiss puts it: </w:t>
      </w:r>
      <w:r w:rsidRPr="004703C0">
        <w:rPr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t>"Rhetoric is an instrument, a tool, and is one of the very few tools available to an attorney</w:t>
      </w:r>
      <w:r w:rsidR="004703C0">
        <w:rPr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t xml:space="preserve"> in his daily life of advocacy.</w:t>
      </w:r>
      <w:r w:rsidR="007A4C0B" w:rsidRPr="004703C0">
        <w:rPr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t>"</w:t>
      </w:r>
      <w:r w:rsidR="00735E97">
        <w:rPr>
          <w:rStyle w:val="FootnoteReference"/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footnoteReference w:id="1"/>
      </w:r>
      <w:r w:rsidR="00634C16" w:rsidRPr="00F90C27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</w:t>
      </w:r>
    </w:p>
    <w:p w14:paraId="735E8CB2" w14:textId="384D1682" w:rsidR="00175E9F" w:rsidRPr="00670AF7" w:rsidRDefault="00634C16" w:rsidP="00072F80">
      <w:pPr>
        <w:spacing w:line="360" w:lineRule="auto"/>
        <w:ind w:firstLine="567"/>
        <w:rPr>
          <w:rFonts w:ascii="Times New Roman" w:eastAsia="Times New Roman" w:hAnsi="Times New Roman"/>
          <w:color w:val="4A4949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This narrow understanding of legal rhetoric has in modern times been challenged. You will find today a ser</w:t>
      </w:r>
      <w:r w:rsidR="006E0183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ies of contributions that merge</w:t>
      </w: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the two subjects, la</w:t>
      </w:r>
      <w:r w:rsidR="004474A5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w and rhetoric,</w:t>
      </w:r>
      <w:r w:rsidR="001E7045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in </w:t>
      </w:r>
      <w:r w:rsidR="00D170EE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a </w:t>
      </w:r>
      <w:r w:rsidR="001E7045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novel</w:t>
      </w:r>
      <w:r w:rsidR="00977E38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way</w:t>
      </w: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. Lavi</w:t>
      </w:r>
      <w:r w:rsidR="006E0183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ne &amp; Saunders, for example, see</w:t>
      </w: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the contributions of rhetoric in law as a matter of learning and thinking: </w:t>
      </w:r>
      <w:r w:rsidRPr="00D72481">
        <w:rPr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t xml:space="preserve">"Thinking like a </w:t>
      </w:r>
      <w:proofErr w:type="spellStart"/>
      <w:r w:rsidRPr="00D72481">
        <w:rPr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t>rhetor</w:t>
      </w:r>
      <w:proofErr w:type="spellEnd"/>
      <w:r w:rsidRPr="00D72481">
        <w:rPr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t xml:space="preserve"> offers students the key to thinking like a lawyer."</w:t>
      </w:r>
      <w:r w:rsidR="00D72481">
        <w:rPr>
          <w:rStyle w:val="FootnoteReference"/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footnoteReference w:id="2"/>
      </w: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Here, legal rhetoric is shifted from being a communicative discipline in the courtroom, to being a cognitive discipline at law school. While Whi</w:t>
      </w:r>
      <w:r w:rsidR="00705568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te, to provide another example,</w:t>
      </w: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sees law as rhetorically produced, making law and rhetoric two sides of the same coin: </w:t>
      </w:r>
      <w:r w:rsidRPr="00D72481">
        <w:rPr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t>"... I shall suggest that law is most usefully seen [...] as a branch of rhetoric."</w:t>
      </w:r>
      <w:r w:rsidR="00705568">
        <w:rPr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t xml:space="preserve"> </w:t>
      </w:r>
      <w:r w:rsidR="00705568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Here, the role of rhetoric in law </w:t>
      </w:r>
      <w:r w:rsidR="00284D52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is shifted </w:t>
      </w:r>
      <w:r w:rsidR="00705568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from being instrumental to being constitutive.</w:t>
      </w:r>
      <w:r w:rsidR="00D72481">
        <w:rPr>
          <w:rStyle w:val="FootnoteReference"/>
          <w:rFonts w:ascii="Times New Roman" w:eastAsia="Times New Roman" w:hAnsi="Times New Roman" w:cs="Times New Roman"/>
          <w:i/>
          <w:color w:val="4A4949"/>
          <w:shd w:val="clear" w:color="auto" w:fill="FFFFFF"/>
          <w:lang w:val="en-US" w:bidi="en-US"/>
        </w:rPr>
        <w:footnoteReference w:id="3"/>
      </w: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</w:t>
      </w:r>
    </w:p>
    <w:p w14:paraId="0D486BDF" w14:textId="1F02E6A4" w:rsidR="005F6557" w:rsidRPr="00670AF7" w:rsidRDefault="00A7271A" w:rsidP="005F6557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So the challenge today is the opposite of the case with the classical contributions</w:t>
      </w:r>
      <w:r w:rsidR="006447FC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: It is not to narrow, but </w:t>
      </w:r>
      <w:r w:rsidR="006447FC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rather broad and diffuse</w:t>
      </w:r>
      <w:r w:rsidR="006447FC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. </w:t>
      </w: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>Behind the superficially similar concepts – 'legal rhetoric' and 'rhetoric in law'</w:t>
      </w:r>
      <w:r w:rsidR="00710349"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etc.</w:t>
      </w:r>
      <w:r>
        <w:rPr>
          <w:rFonts w:ascii="Times New Roman" w:eastAsia="Times New Roman" w:hAnsi="Times New Roman" w:cs="Times New Roman"/>
          <w:color w:val="4A4949"/>
          <w:shd w:val="clear" w:color="auto" w:fill="FFFFFF"/>
          <w:lang w:val="en-US" w:bidi="en-US"/>
        </w:rPr>
        <w:t xml:space="preserve"> – lies a plurality of meanings and levels:</w:t>
      </w:r>
      <w:r w:rsidR="00C23FD3">
        <w:rPr>
          <w:rFonts w:ascii="Times New Roman" w:eastAsia="Times New Roman" w:hAnsi="Times New Roman" w:cs="Times New Roman"/>
          <w:lang w:val="en-US" w:bidi="en-US"/>
        </w:rPr>
        <w:t xml:space="preserve"> Where legal rhetoric in one context denotes practical instructions on legal communication and argument in court, </w:t>
      </w:r>
      <w:r w:rsidR="003C58CD">
        <w:rPr>
          <w:rFonts w:ascii="Times New Roman" w:eastAsia="Times New Roman" w:hAnsi="Times New Roman" w:cs="Times New Roman"/>
          <w:lang w:val="en-US" w:bidi="en-US"/>
        </w:rPr>
        <w:t xml:space="preserve">it is in other contexts </w:t>
      </w:r>
      <w:r w:rsidR="00C23FD3">
        <w:rPr>
          <w:rFonts w:ascii="Times New Roman" w:eastAsia="Times New Roman" w:hAnsi="Times New Roman" w:cs="Times New Roman"/>
          <w:lang w:val="en-US" w:bidi="en-US"/>
        </w:rPr>
        <w:t>viewed as a didactic discipline to be explo</w:t>
      </w:r>
      <w:r w:rsidR="00A57B5C">
        <w:rPr>
          <w:rFonts w:ascii="Times New Roman" w:eastAsia="Times New Roman" w:hAnsi="Times New Roman" w:cs="Times New Roman"/>
          <w:lang w:val="en-US" w:bidi="en-US"/>
        </w:rPr>
        <w:t xml:space="preserve">ited for systematizing doctrinal </w:t>
      </w:r>
      <w:r w:rsidR="00C23FD3">
        <w:rPr>
          <w:rFonts w:ascii="Times New Roman" w:eastAsia="Times New Roman" w:hAnsi="Times New Roman" w:cs="Times New Roman"/>
          <w:lang w:val="en-US" w:bidi="en-US"/>
        </w:rPr>
        <w:t xml:space="preserve">legal knowledge. While in yet other contexts rhetoric is applied to challenge the </w:t>
      </w:r>
      <w:r w:rsidR="00C23FD3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ontological status of law. Here, legal rhetoric is neither a practical </w:t>
      </w:r>
      <w:r w:rsidR="00994383">
        <w:rPr>
          <w:rFonts w:ascii="Times New Roman" w:eastAsia="Times New Roman" w:hAnsi="Times New Roman" w:cs="Times New Roman"/>
          <w:lang w:val="en-US" w:bidi="en-US"/>
        </w:rPr>
        <w:t>n</w:t>
      </w:r>
      <w:r w:rsidR="00C23FD3">
        <w:rPr>
          <w:rFonts w:ascii="Times New Roman" w:eastAsia="Times New Roman" w:hAnsi="Times New Roman" w:cs="Times New Roman"/>
          <w:lang w:val="en-US" w:bidi="en-US"/>
        </w:rPr>
        <w:t xml:space="preserve">or </w:t>
      </w:r>
      <w:r w:rsidR="00A57B5C">
        <w:rPr>
          <w:rFonts w:ascii="Times New Roman" w:eastAsia="Times New Roman" w:hAnsi="Times New Roman" w:cs="Times New Roman"/>
          <w:lang w:val="en-US" w:bidi="en-US"/>
        </w:rPr>
        <w:t xml:space="preserve">a </w:t>
      </w:r>
      <w:r w:rsidR="00C23FD3">
        <w:rPr>
          <w:rFonts w:ascii="Times New Roman" w:eastAsia="Times New Roman" w:hAnsi="Times New Roman" w:cs="Times New Roman"/>
          <w:lang w:val="en-US" w:bidi="en-US"/>
        </w:rPr>
        <w:t>methodical discipline, but part of a greater discussion of legal philosophy.</w:t>
      </w:r>
    </w:p>
    <w:p w14:paraId="51C7F7A0" w14:textId="77777777" w:rsidR="00AE670E" w:rsidRDefault="00A25659" w:rsidP="004F1D9A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bidi="en-US"/>
        </w:rPr>
      </w:pPr>
      <w:r w:rsidRPr="005F6557">
        <w:rPr>
          <w:rFonts w:ascii="Times New Roman" w:eastAsia="Times New Roman" w:hAnsi="Times New Roman" w:cs="Times New Roman"/>
          <w:lang w:val="en-US" w:bidi="en-US"/>
        </w:rPr>
        <w:t>In an interesting article from 2009</w:t>
      </w:r>
      <w:r w:rsidR="00A824B6">
        <w:rPr>
          <w:rFonts w:ascii="Times New Roman" w:eastAsia="Times New Roman" w:hAnsi="Times New Roman" w:cs="Times New Roman"/>
          <w:lang w:val="en-US" w:bidi="en-US"/>
        </w:rPr>
        <w:t>,</w:t>
      </w:r>
      <w:r w:rsidRPr="005F6557">
        <w:rPr>
          <w:rFonts w:ascii="Times New Roman" w:eastAsia="Times New Roman" w:hAnsi="Times New Roman" w:cs="Times New Roman"/>
          <w:lang w:val="en-US" w:bidi="en-US"/>
        </w:rPr>
        <w:t xml:space="preserve"> legal linguist Peter M. Tiersma argues that the field</w:t>
      </w:r>
      <w:r w:rsidR="00A824B6">
        <w:rPr>
          <w:rFonts w:ascii="Times New Roman" w:eastAsia="Times New Roman" w:hAnsi="Times New Roman" w:cs="Times New Roman"/>
          <w:lang w:val="en-US" w:bidi="en-US"/>
        </w:rPr>
        <w:t xml:space="preserve"> called – with an umbr</w:t>
      </w:r>
      <w:r w:rsidR="00A55030">
        <w:rPr>
          <w:rFonts w:ascii="Times New Roman" w:eastAsia="Times New Roman" w:hAnsi="Times New Roman" w:cs="Times New Roman"/>
          <w:lang w:val="en-US" w:bidi="en-US"/>
        </w:rPr>
        <w:t>ella term – 'Law and l</w:t>
      </w:r>
      <w:r w:rsidR="00A824B6">
        <w:rPr>
          <w:rFonts w:ascii="Times New Roman" w:eastAsia="Times New Roman" w:hAnsi="Times New Roman" w:cs="Times New Roman"/>
          <w:lang w:val="en-US" w:bidi="en-US"/>
        </w:rPr>
        <w:t xml:space="preserve">anguage' </w:t>
      </w:r>
      <w:r w:rsidRPr="005F6557">
        <w:rPr>
          <w:rFonts w:ascii="Times New Roman" w:eastAsia="Times New Roman" w:hAnsi="Times New Roman" w:cs="Times New Roman"/>
          <w:lang w:val="en-US" w:bidi="en-US"/>
        </w:rPr>
        <w:t xml:space="preserve">is both in growth and fragmented: </w:t>
      </w:r>
      <w:r w:rsidRPr="00D72481">
        <w:rPr>
          <w:rFonts w:ascii="Times New Roman" w:eastAsia="Times New Roman" w:hAnsi="Times New Roman" w:cs="Times New Roman"/>
          <w:i/>
          <w:lang w:val="en-US" w:bidi="en-US"/>
        </w:rPr>
        <w:t>"Obviously, the problem here is not a lack of interest. Rather, it is that there are a number of different groups producing work in the area, often with differe</w:t>
      </w:r>
      <w:r w:rsidR="00A55030" w:rsidRPr="00D72481">
        <w:rPr>
          <w:rFonts w:ascii="Times New Roman" w:eastAsia="Times New Roman" w:hAnsi="Times New Roman" w:cs="Times New Roman"/>
          <w:i/>
          <w:lang w:val="en-US" w:bidi="en-US"/>
        </w:rPr>
        <w:t>nt backgrounds and interests."</w:t>
      </w:r>
      <w:r w:rsidR="00D72481">
        <w:rPr>
          <w:rStyle w:val="FootnoteReference"/>
          <w:rFonts w:ascii="Times New Roman" w:eastAsia="Times New Roman" w:hAnsi="Times New Roman" w:cs="Times New Roman"/>
          <w:i/>
          <w:lang w:val="en-US" w:bidi="en-US"/>
        </w:rPr>
        <w:footnoteReference w:id="4"/>
      </w:r>
      <w:r w:rsidR="00A55030">
        <w:rPr>
          <w:rFonts w:ascii="Times New Roman" w:eastAsia="Times New Roman" w:hAnsi="Times New Roman" w:cs="Times New Roman"/>
          <w:lang w:val="en-US" w:bidi="en-US"/>
        </w:rPr>
        <w:t xml:space="preserve"> </w:t>
      </w:r>
      <w:r w:rsidRPr="005F6557">
        <w:rPr>
          <w:rFonts w:ascii="Times New Roman" w:eastAsia="Times New Roman" w:hAnsi="Times New Roman" w:cs="Times New Roman"/>
          <w:lang w:val="en-US" w:bidi="en-US"/>
        </w:rPr>
        <w:t>The same seems to be the case with the field of legal rhetoric (classified by Tiersma as on</w:t>
      </w:r>
      <w:r w:rsidR="00A824B6">
        <w:rPr>
          <w:rFonts w:ascii="Times New Roman" w:eastAsia="Times New Roman" w:hAnsi="Times New Roman" w:cs="Times New Roman"/>
          <w:lang w:val="en-US" w:bidi="en-US"/>
        </w:rPr>
        <w:t>e of the subgenres of</w:t>
      </w:r>
      <w:r w:rsidR="00A55030">
        <w:rPr>
          <w:rFonts w:ascii="Times New Roman" w:eastAsia="Times New Roman" w:hAnsi="Times New Roman" w:cs="Times New Roman"/>
          <w:lang w:val="en-US" w:bidi="en-US"/>
        </w:rPr>
        <w:t xml:space="preserve"> ‘Law and l</w:t>
      </w:r>
      <w:r w:rsidRPr="005F6557">
        <w:rPr>
          <w:rFonts w:ascii="Times New Roman" w:eastAsia="Times New Roman" w:hAnsi="Times New Roman" w:cs="Times New Roman"/>
          <w:lang w:val="en-US" w:bidi="en-US"/>
        </w:rPr>
        <w:t>anguage'). Contributions that treat legal rhetoric and rhetoric in law are found in a wide r</w:t>
      </w:r>
      <w:r w:rsidR="004D7C6F">
        <w:rPr>
          <w:rFonts w:ascii="Times New Roman" w:eastAsia="Times New Roman" w:hAnsi="Times New Roman" w:cs="Times New Roman"/>
          <w:lang w:val="en-US" w:bidi="en-US"/>
        </w:rPr>
        <w:t>ange of periodicals and books: p</w:t>
      </w:r>
      <w:r w:rsidRPr="005F6557">
        <w:rPr>
          <w:rFonts w:ascii="Times New Roman" w:eastAsia="Times New Roman" w:hAnsi="Times New Roman" w:cs="Times New Roman"/>
          <w:lang w:val="en-US" w:bidi="en-US"/>
        </w:rPr>
        <w:t>opular books on being a persuasive lawyer, textbooks on legal writing, legal periodicals, journals on legal education, rhetorical journals, journals on argumentation, journals on semiotics of law and journals concerning legal philosophy.</w:t>
      </w:r>
      <w:r w:rsidR="005A4778" w:rsidRPr="0003428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bidi="en-US"/>
        </w:rPr>
        <w:t xml:space="preserve"> </w:t>
      </w:r>
    </w:p>
    <w:p w14:paraId="1003D57F" w14:textId="0D96FE8C" w:rsidR="00764959" w:rsidRPr="00670AF7" w:rsidRDefault="00A25659" w:rsidP="00AE670E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  <w:r w:rsidRPr="005F6557">
        <w:rPr>
          <w:rFonts w:ascii="Times New Roman" w:eastAsia="Times New Roman" w:hAnsi="Times New Roman" w:cs="Times New Roman"/>
          <w:lang w:val="en-US" w:bidi="en-US"/>
        </w:rPr>
        <w:t xml:space="preserve">Plurality in a field is not problematic in </w:t>
      </w:r>
      <w:proofErr w:type="gramStart"/>
      <w:r w:rsidRPr="005F6557">
        <w:rPr>
          <w:rFonts w:ascii="Times New Roman" w:eastAsia="Times New Roman" w:hAnsi="Times New Roman" w:cs="Times New Roman"/>
          <w:lang w:val="en-US" w:bidi="en-US"/>
        </w:rPr>
        <w:t>itself</w:t>
      </w:r>
      <w:proofErr w:type="gramEnd"/>
      <w:r w:rsidRPr="005F6557">
        <w:rPr>
          <w:rFonts w:ascii="Times New Roman" w:eastAsia="Times New Roman" w:hAnsi="Times New Roman" w:cs="Times New Roman"/>
          <w:lang w:val="en-US" w:bidi="en-US"/>
        </w:rPr>
        <w:t xml:space="preserve">, but requires knowledge of the </w:t>
      </w:r>
      <w:r w:rsidR="00B26DB4">
        <w:rPr>
          <w:rFonts w:ascii="Times New Roman" w:eastAsia="Times New Roman" w:hAnsi="Times New Roman" w:cs="Times New Roman"/>
          <w:lang w:val="en-US" w:bidi="en-US"/>
        </w:rPr>
        <w:t>different</w:t>
      </w:r>
      <w:r w:rsidRPr="005F6557">
        <w:rPr>
          <w:rFonts w:ascii="Times New Roman" w:eastAsia="Times New Roman" w:hAnsi="Times New Roman" w:cs="Times New Roman"/>
          <w:lang w:val="en-US" w:bidi="en-US"/>
        </w:rPr>
        <w:t xml:space="preserve"> rationales underlying the various approaches. </w:t>
      </w:r>
      <w:r w:rsidR="00800A9D">
        <w:rPr>
          <w:rFonts w:ascii="Times New Roman" w:eastAsia="Times New Roman" w:hAnsi="Times New Roman" w:cs="Times New Roman"/>
          <w:lang w:val="en-US" w:bidi="en-US"/>
        </w:rPr>
        <w:t>The underlying rationales and levels are thus the focal point of this paper. On the basis of established literature in the field, I will discuss the various interpretations of legal rhetoric and rhetoric in law. What sort of frameworks characterize the field? Wha</w:t>
      </w:r>
      <w:bookmarkStart w:id="0" w:name="_GoBack"/>
      <w:bookmarkEnd w:id="0"/>
      <w:r w:rsidR="00800A9D">
        <w:rPr>
          <w:rFonts w:ascii="Times New Roman" w:eastAsia="Times New Roman" w:hAnsi="Times New Roman" w:cs="Times New Roman"/>
          <w:lang w:val="en-US" w:bidi="en-US"/>
        </w:rPr>
        <w:t xml:space="preserve">t is the link between law and rhetoric, given the various frameworks? </w:t>
      </w:r>
    </w:p>
    <w:p w14:paraId="7E221976" w14:textId="77777777" w:rsidR="006241AE" w:rsidRPr="00670AF7" w:rsidRDefault="009C398D" w:rsidP="0003428D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  <w:r w:rsidRPr="0003428D">
        <w:rPr>
          <w:rFonts w:ascii="Times New Roman" w:eastAsia="Times New Roman" w:hAnsi="Times New Roman" w:cs="Times New Roman"/>
          <w:lang w:val="en-US" w:bidi="en-US"/>
        </w:rPr>
        <w:t xml:space="preserve">Reading across the many contributions, the outlines of three distinct conceptual frameworks emerge: I call them respectively the </w:t>
      </w:r>
      <w:r w:rsidRPr="0057405E">
        <w:rPr>
          <w:rFonts w:ascii="Times New Roman" w:eastAsia="Times New Roman" w:hAnsi="Times New Roman" w:cs="Times New Roman"/>
          <w:i/>
          <w:lang w:val="en-US" w:bidi="en-US"/>
        </w:rPr>
        <w:t>communicative</w:t>
      </w:r>
      <w:r w:rsidRPr="0003428D">
        <w:rPr>
          <w:rFonts w:ascii="Times New Roman" w:eastAsia="Times New Roman" w:hAnsi="Times New Roman" w:cs="Times New Roman"/>
          <w:lang w:val="en-US" w:bidi="en-US"/>
        </w:rPr>
        <w:t xml:space="preserve">, </w:t>
      </w:r>
      <w:r w:rsidRPr="0057405E">
        <w:rPr>
          <w:rFonts w:ascii="Times New Roman" w:eastAsia="Times New Roman" w:hAnsi="Times New Roman" w:cs="Times New Roman"/>
          <w:i/>
          <w:lang w:val="en-US" w:bidi="en-US"/>
        </w:rPr>
        <w:t>methodological</w:t>
      </w:r>
      <w:r w:rsidRPr="0003428D">
        <w:rPr>
          <w:rFonts w:ascii="Times New Roman" w:eastAsia="Times New Roman" w:hAnsi="Times New Roman" w:cs="Times New Roman"/>
          <w:lang w:val="en-US" w:bidi="en-US"/>
        </w:rPr>
        <w:t xml:space="preserve"> and </w:t>
      </w:r>
      <w:r w:rsidRPr="0057405E">
        <w:rPr>
          <w:rFonts w:ascii="Times New Roman" w:eastAsia="Times New Roman" w:hAnsi="Times New Roman" w:cs="Times New Roman"/>
          <w:i/>
          <w:lang w:val="en-US" w:bidi="en-US"/>
        </w:rPr>
        <w:t>philosophical</w:t>
      </w:r>
      <w:r w:rsidRPr="0003428D">
        <w:rPr>
          <w:rFonts w:ascii="Times New Roman" w:eastAsia="Times New Roman" w:hAnsi="Times New Roman" w:cs="Times New Roman"/>
          <w:lang w:val="en-US" w:bidi="en-US"/>
        </w:rPr>
        <w:t xml:space="preserve"> frameworks. In my paper I outline the three frameworks and invite to a discussion of their adequacy and relevance. Are there any levels missing? Is it meaningful to consider the field in contrived rationales? And to what extent are the frameworks I have expressed a result of my addressing the borderland between law and rhetoric from the viewpoint of rhetorics? </w:t>
      </w:r>
    </w:p>
    <w:sectPr w:rsidR="006241AE" w:rsidRPr="00670AF7" w:rsidSect="005A4778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A9965" w14:textId="77777777" w:rsidR="00EF0598" w:rsidRDefault="00EF0598" w:rsidP="0012437E">
      <w:r>
        <w:separator/>
      </w:r>
    </w:p>
  </w:endnote>
  <w:endnote w:type="continuationSeparator" w:id="0">
    <w:p w14:paraId="73382BB7" w14:textId="77777777" w:rsidR="00EF0598" w:rsidRDefault="00EF0598" w:rsidP="0012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92E2D" w14:textId="77777777" w:rsidR="00EF0598" w:rsidRDefault="00EF0598" w:rsidP="0012437E">
      <w:r>
        <w:separator/>
      </w:r>
    </w:p>
  </w:footnote>
  <w:footnote w:type="continuationSeparator" w:id="0">
    <w:p w14:paraId="631F71E2" w14:textId="77777777" w:rsidR="00EF0598" w:rsidRDefault="00EF0598" w:rsidP="0012437E">
      <w:r>
        <w:continuationSeparator/>
      </w:r>
    </w:p>
  </w:footnote>
  <w:footnote w:id="1">
    <w:p w14:paraId="44AAFF64" w14:textId="77777777" w:rsidR="00EF0598" w:rsidRPr="00735E97" w:rsidRDefault="00EF0598" w:rsidP="00A96E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35E97">
        <w:rPr>
          <w:lang w:val="en-US"/>
        </w:rPr>
        <w:t xml:space="preserve"> </w:t>
      </w:r>
      <w:r w:rsidRPr="00F90C27">
        <w:rPr>
          <w:rFonts w:ascii="Times New Roman" w:hAnsi="Times New Roman" w:cs="Times New Roman"/>
          <w:sz w:val="20"/>
          <w:szCs w:val="20"/>
          <w:lang w:val="en-US"/>
        </w:rPr>
        <w:t xml:space="preserve">Weiss, Franklin R.: ’How the Lawyer Uses Rhetoric’, </w:t>
      </w:r>
      <w:r w:rsidRPr="00F90C27">
        <w:rPr>
          <w:rFonts w:ascii="Times New Roman" w:hAnsi="Times New Roman" w:cs="Times New Roman"/>
          <w:i/>
          <w:sz w:val="20"/>
          <w:szCs w:val="20"/>
          <w:lang w:val="en-US"/>
        </w:rPr>
        <w:t>Today´s Speech</w:t>
      </w:r>
      <w:r w:rsidRPr="00F90C27">
        <w:rPr>
          <w:rFonts w:ascii="Times New Roman" w:hAnsi="Times New Roman" w:cs="Times New Roman"/>
          <w:sz w:val="20"/>
          <w:szCs w:val="20"/>
          <w:lang w:val="en-US"/>
        </w:rPr>
        <w:t>, vol. 7, 1959.</w:t>
      </w:r>
    </w:p>
  </w:footnote>
  <w:footnote w:id="2">
    <w:p w14:paraId="6F14745F" w14:textId="77777777" w:rsidR="00EF0598" w:rsidRPr="00D72481" w:rsidRDefault="00EF0598" w:rsidP="00A96E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72481">
        <w:rPr>
          <w:lang w:val="en-US"/>
        </w:rPr>
        <w:t xml:space="preserve"> </w:t>
      </w:r>
      <w:r w:rsidRPr="0079479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Levine, Linda &amp; Kurt M. Saunders: ‘Thinking Like a </w:t>
      </w:r>
      <w:proofErr w:type="spellStart"/>
      <w:r w:rsidRPr="00794797">
        <w:rPr>
          <w:rFonts w:ascii="Times New Roman" w:hAnsi="Times New Roman" w:cs="Times New Roman"/>
          <w:bCs/>
          <w:sz w:val="20"/>
          <w:szCs w:val="20"/>
          <w:lang w:val="en-US"/>
        </w:rPr>
        <w:t>Rhetor</w:t>
      </w:r>
      <w:proofErr w:type="spellEnd"/>
      <w:r w:rsidRPr="0079479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’, </w:t>
      </w:r>
      <w:r w:rsidRPr="0079479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Journal of Legal Education </w:t>
      </w:r>
      <w:r w:rsidRPr="00794797">
        <w:rPr>
          <w:rFonts w:ascii="Times New Roman" w:hAnsi="Times New Roman" w:cs="Times New Roman"/>
          <w:iCs/>
          <w:sz w:val="20"/>
          <w:szCs w:val="20"/>
          <w:lang w:val="en-US"/>
        </w:rPr>
        <w:t>43, 1993.</w:t>
      </w:r>
    </w:p>
  </w:footnote>
  <w:footnote w:id="3">
    <w:p w14:paraId="7EC14091" w14:textId="77777777" w:rsidR="00EF0598" w:rsidRPr="00D72481" w:rsidRDefault="00EF0598" w:rsidP="00A96E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72481">
        <w:rPr>
          <w:lang w:val="en-US"/>
        </w:rPr>
        <w:t xml:space="preserve"> </w:t>
      </w:r>
      <w:r w:rsidRPr="00F90C27">
        <w:rPr>
          <w:rFonts w:ascii="Times New Roman" w:hAnsi="Times New Roman" w:cs="Times New Roman"/>
          <w:sz w:val="20"/>
          <w:szCs w:val="20"/>
          <w:lang w:val="en-US"/>
        </w:rPr>
        <w:t xml:space="preserve">White, James Boyd: ’Law as Rhetoric, Rhetoric as Law: The Arts of Cultural and Communal Life’, </w:t>
      </w:r>
      <w:r w:rsidRPr="00F90C27">
        <w:rPr>
          <w:rFonts w:ascii="Times New Roman" w:hAnsi="Times New Roman" w:cs="Times New Roman"/>
          <w:i/>
          <w:sz w:val="20"/>
          <w:szCs w:val="20"/>
          <w:lang w:val="en-US"/>
        </w:rPr>
        <w:t>The University of Chicago Law Review</w:t>
      </w:r>
      <w:r w:rsidRPr="00F90C27">
        <w:rPr>
          <w:rFonts w:ascii="Times New Roman" w:hAnsi="Times New Roman" w:cs="Times New Roman"/>
          <w:sz w:val="20"/>
          <w:szCs w:val="20"/>
          <w:lang w:val="en-US"/>
        </w:rPr>
        <w:t>, Vol. 52, 1985.</w:t>
      </w:r>
    </w:p>
  </w:footnote>
  <w:footnote w:id="4">
    <w:p w14:paraId="56D6F5C8" w14:textId="77777777" w:rsidR="00EF0598" w:rsidRPr="00D72481" w:rsidRDefault="00EF05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72481">
        <w:rPr>
          <w:lang w:val="en-US"/>
        </w:rPr>
        <w:t xml:space="preserve"> </w:t>
      </w:r>
      <w:proofErr w:type="spellStart"/>
      <w:r w:rsidRPr="00F90C27">
        <w:rPr>
          <w:rFonts w:ascii="Times New Roman" w:hAnsi="Times New Roman" w:cs="Times New Roman"/>
          <w:sz w:val="20"/>
          <w:szCs w:val="20"/>
          <w:lang w:val="en-US"/>
        </w:rPr>
        <w:t>Tiersma</w:t>
      </w:r>
      <w:proofErr w:type="spellEnd"/>
      <w:r w:rsidRPr="00F90C27">
        <w:rPr>
          <w:rFonts w:ascii="Times New Roman" w:hAnsi="Times New Roman" w:cs="Times New Roman"/>
          <w:sz w:val="20"/>
          <w:szCs w:val="20"/>
          <w:lang w:val="en-US"/>
        </w:rPr>
        <w:t>, Peter: ’</w:t>
      </w:r>
      <w:r w:rsidRPr="00F90C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What is Language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and Law? And Does Anyone Care?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’,</w:t>
      </w:r>
      <w:proofErr w:type="gramEnd"/>
      <w:r w:rsidRPr="00F90C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Loyola-LA Legal Studies paper No. 2009-11.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5499"/>
    <w:multiLevelType w:val="hybridMultilevel"/>
    <w:tmpl w:val="F3B0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5"/>
    <w:rsid w:val="00000E61"/>
    <w:rsid w:val="00006A60"/>
    <w:rsid w:val="0003428D"/>
    <w:rsid w:val="00040B3D"/>
    <w:rsid w:val="00045F8E"/>
    <w:rsid w:val="00072F80"/>
    <w:rsid w:val="000B3D85"/>
    <w:rsid w:val="000D1F72"/>
    <w:rsid w:val="000E6A1C"/>
    <w:rsid w:val="000F39BF"/>
    <w:rsid w:val="0012437E"/>
    <w:rsid w:val="00130695"/>
    <w:rsid w:val="0014721E"/>
    <w:rsid w:val="00175E9F"/>
    <w:rsid w:val="001863AA"/>
    <w:rsid w:val="001E7045"/>
    <w:rsid w:val="001F0959"/>
    <w:rsid w:val="00221F39"/>
    <w:rsid w:val="00222CA8"/>
    <w:rsid w:val="00245C91"/>
    <w:rsid w:val="002577E4"/>
    <w:rsid w:val="00284D52"/>
    <w:rsid w:val="002B2585"/>
    <w:rsid w:val="002F0FF9"/>
    <w:rsid w:val="00342CCC"/>
    <w:rsid w:val="00392781"/>
    <w:rsid w:val="003C58CD"/>
    <w:rsid w:val="003D2B73"/>
    <w:rsid w:val="003D627C"/>
    <w:rsid w:val="0040505B"/>
    <w:rsid w:val="0040742F"/>
    <w:rsid w:val="004474A5"/>
    <w:rsid w:val="00457153"/>
    <w:rsid w:val="00464AA2"/>
    <w:rsid w:val="004703C0"/>
    <w:rsid w:val="004D7C6F"/>
    <w:rsid w:val="004F1D9A"/>
    <w:rsid w:val="00565ED3"/>
    <w:rsid w:val="0057405E"/>
    <w:rsid w:val="00577701"/>
    <w:rsid w:val="005A4778"/>
    <w:rsid w:val="005C694D"/>
    <w:rsid w:val="005F6557"/>
    <w:rsid w:val="006241AE"/>
    <w:rsid w:val="00634C16"/>
    <w:rsid w:val="006447FC"/>
    <w:rsid w:val="00670AF7"/>
    <w:rsid w:val="00694285"/>
    <w:rsid w:val="00697E2B"/>
    <w:rsid w:val="006E0183"/>
    <w:rsid w:val="00705568"/>
    <w:rsid w:val="00710349"/>
    <w:rsid w:val="00735E97"/>
    <w:rsid w:val="00764959"/>
    <w:rsid w:val="00782E03"/>
    <w:rsid w:val="0079019A"/>
    <w:rsid w:val="00794797"/>
    <w:rsid w:val="007A4C0B"/>
    <w:rsid w:val="007D3ABB"/>
    <w:rsid w:val="00800A9D"/>
    <w:rsid w:val="00801854"/>
    <w:rsid w:val="00807305"/>
    <w:rsid w:val="008B23A2"/>
    <w:rsid w:val="00977E38"/>
    <w:rsid w:val="00981321"/>
    <w:rsid w:val="00994383"/>
    <w:rsid w:val="009A1DA5"/>
    <w:rsid w:val="009C398D"/>
    <w:rsid w:val="00A13727"/>
    <w:rsid w:val="00A25659"/>
    <w:rsid w:val="00A51134"/>
    <w:rsid w:val="00A52402"/>
    <w:rsid w:val="00A55030"/>
    <w:rsid w:val="00A57B5C"/>
    <w:rsid w:val="00A7271A"/>
    <w:rsid w:val="00A824B6"/>
    <w:rsid w:val="00A96E25"/>
    <w:rsid w:val="00AA59BD"/>
    <w:rsid w:val="00AE670E"/>
    <w:rsid w:val="00B26DB4"/>
    <w:rsid w:val="00B64902"/>
    <w:rsid w:val="00C23FD3"/>
    <w:rsid w:val="00C73852"/>
    <w:rsid w:val="00C90A37"/>
    <w:rsid w:val="00CC4D9F"/>
    <w:rsid w:val="00CF5A52"/>
    <w:rsid w:val="00D15D42"/>
    <w:rsid w:val="00D170EE"/>
    <w:rsid w:val="00D20538"/>
    <w:rsid w:val="00D34E32"/>
    <w:rsid w:val="00D651F2"/>
    <w:rsid w:val="00D72481"/>
    <w:rsid w:val="00D819C4"/>
    <w:rsid w:val="00DC0466"/>
    <w:rsid w:val="00E33039"/>
    <w:rsid w:val="00E42119"/>
    <w:rsid w:val="00E957DD"/>
    <w:rsid w:val="00E969B4"/>
    <w:rsid w:val="00EB5075"/>
    <w:rsid w:val="00EB7910"/>
    <w:rsid w:val="00EF0598"/>
    <w:rsid w:val="00F26FA1"/>
    <w:rsid w:val="00F54942"/>
    <w:rsid w:val="00F76D3A"/>
    <w:rsid w:val="00F90C27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40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05"/>
    <w:rPr>
      <w:lang w:val="da-DK"/>
    </w:rPr>
  </w:style>
  <w:style w:type="paragraph" w:styleId="Heading1">
    <w:name w:val="heading 1"/>
    <w:basedOn w:val="Normal"/>
    <w:link w:val="Heading1Char"/>
    <w:uiPriority w:val="9"/>
    <w:qFormat/>
    <w:rsid w:val="002577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7305"/>
  </w:style>
  <w:style w:type="paragraph" w:styleId="NormalWeb">
    <w:name w:val="Normal (Web)"/>
    <w:basedOn w:val="Normal"/>
    <w:uiPriority w:val="99"/>
    <w:semiHidden/>
    <w:unhideWhenUsed/>
    <w:rsid w:val="001472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2437E"/>
  </w:style>
  <w:style w:type="character" w:customStyle="1" w:styleId="FootnoteTextChar">
    <w:name w:val="Footnote Text Char"/>
    <w:basedOn w:val="DefaultParagraphFont"/>
    <w:link w:val="FootnoteText"/>
    <w:uiPriority w:val="99"/>
    <w:rsid w:val="0012437E"/>
    <w:rPr>
      <w:lang w:val="da-DK"/>
    </w:rPr>
  </w:style>
  <w:style w:type="character" w:styleId="FootnoteReference">
    <w:name w:val="footnote reference"/>
    <w:basedOn w:val="DefaultParagraphFont"/>
    <w:uiPriority w:val="99"/>
    <w:unhideWhenUsed/>
    <w:rsid w:val="001243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77E4"/>
    <w:rPr>
      <w:rFonts w:ascii="Times" w:hAnsi="Times"/>
      <w:b/>
      <w:bCs/>
      <w:kern w:val="36"/>
      <w:sz w:val="48"/>
      <w:szCs w:val="48"/>
      <w:lang w:val="da-DK"/>
    </w:rPr>
  </w:style>
  <w:style w:type="character" w:styleId="Hyperlink">
    <w:name w:val="Hyperlink"/>
    <w:basedOn w:val="DefaultParagraphFont"/>
    <w:uiPriority w:val="99"/>
    <w:semiHidden/>
    <w:unhideWhenUsed/>
    <w:rsid w:val="002577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854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854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54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05"/>
    <w:rPr>
      <w:lang w:val="da-DK"/>
    </w:rPr>
  </w:style>
  <w:style w:type="paragraph" w:styleId="Heading1">
    <w:name w:val="heading 1"/>
    <w:basedOn w:val="Normal"/>
    <w:link w:val="Heading1Char"/>
    <w:uiPriority w:val="9"/>
    <w:qFormat/>
    <w:rsid w:val="002577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7305"/>
  </w:style>
  <w:style w:type="paragraph" w:styleId="NormalWeb">
    <w:name w:val="Normal (Web)"/>
    <w:basedOn w:val="Normal"/>
    <w:uiPriority w:val="99"/>
    <w:semiHidden/>
    <w:unhideWhenUsed/>
    <w:rsid w:val="001472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2437E"/>
  </w:style>
  <w:style w:type="character" w:customStyle="1" w:styleId="FootnoteTextChar">
    <w:name w:val="Footnote Text Char"/>
    <w:basedOn w:val="DefaultParagraphFont"/>
    <w:link w:val="FootnoteText"/>
    <w:uiPriority w:val="99"/>
    <w:rsid w:val="0012437E"/>
    <w:rPr>
      <w:lang w:val="da-DK"/>
    </w:rPr>
  </w:style>
  <w:style w:type="character" w:styleId="FootnoteReference">
    <w:name w:val="footnote reference"/>
    <w:basedOn w:val="DefaultParagraphFont"/>
    <w:uiPriority w:val="99"/>
    <w:unhideWhenUsed/>
    <w:rsid w:val="001243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77E4"/>
    <w:rPr>
      <w:rFonts w:ascii="Times" w:hAnsi="Times"/>
      <w:b/>
      <w:bCs/>
      <w:kern w:val="36"/>
      <w:sz w:val="48"/>
      <w:szCs w:val="48"/>
      <w:lang w:val="da-DK"/>
    </w:rPr>
  </w:style>
  <w:style w:type="character" w:styleId="Hyperlink">
    <w:name w:val="Hyperlink"/>
    <w:basedOn w:val="DefaultParagraphFont"/>
    <w:uiPriority w:val="99"/>
    <w:semiHidden/>
    <w:unhideWhenUsed/>
    <w:rsid w:val="002577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854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854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54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0A9B-5A92-A144-8C0F-38131A3E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705</Words>
  <Characters>3662</Characters>
  <Application>Microsoft Macintosh Word</Application>
  <DocSecurity>0</DocSecurity>
  <Lines>56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CBIT, Roskilde University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Gabrielsen</dc:creator>
  <cp:lastModifiedBy>Jonas Gabrielsen</cp:lastModifiedBy>
  <cp:revision>10</cp:revision>
  <dcterms:created xsi:type="dcterms:W3CDTF">2015-10-12T07:08:00Z</dcterms:created>
  <dcterms:modified xsi:type="dcterms:W3CDTF">2015-10-12T07:49:00Z</dcterms:modified>
</cp:coreProperties>
</file>