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A58" w:rsidRDefault="00790EC0" w:rsidP="00790EC0">
      <w:pPr>
        <w:spacing w:line="240" w:lineRule="auto"/>
        <w:jc w:val="both"/>
        <w:rPr>
          <w:rFonts w:ascii="Times New Roman" w:hAnsi="Times New Roman"/>
          <w:sz w:val="24"/>
          <w:szCs w:val="24"/>
          <w:lang w:val="en-CA"/>
        </w:rPr>
      </w:pPr>
      <w:bookmarkStart w:id="0" w:name="_GoBack"/>
      <w:bookmarkEnd w:id="0"/>
      <w:r>
        <w:rPr>
          <w:rFonts w:ascii="Times New Roman" w:hAnsi="Times New Roman"/>
          <w:sz w:val="24"/>
          <w:szCs w:val="24"/>
          <w:lang w:val="en-CA"/>
        </w:rPr>
        <w:t>F</w:t>
      </w:r>
      <w:r w:rsidR="00A01715">
        <w:rPr>
          <w:rFonts w:ascii="Times New Roman" w:hAnsi="Times New Roman"/>
          <w:sz w:val="24"/>
          <w:szCs w:val="24"/>
          <w:lang w:val="en-CA"/>
        </w:rPr>
        <w:t>ree-movement</w:t>
      </w:r>
      <w:r w:rsidR="00BD6DC4">
        <w:rPr>
          <w:rFonts w:ascii="Times New Roman" w:hAnsi="Times New Roman"/>
          <w:sz w:val="24"/>
          <w:szCs w:val="24"/>
          <w:lang w:val="en-CA"/>
        </w:rPr>
        <w:t xml:space="preserve"> </w:t>
      </w:r>
      <w:r>
        <w:rPr>
          <w:rFonts w:ascii="Times New Roman" w:hAnsi="Times New Roman"/>
          <w:sz w:val="24"/>
          <w:szCs w:val="24"/>
          <w:lang w:val="en-CA"/>
        </w:rPr>
        <w:t xml:space="preserve">as </w:t>
      </w:r>
      <w:r w:rsidR="00BD6DC4">
        <w:rPr>
          <w:rFonts w:ascii="Times New Roman" w:hAnsi="Times New Roman"/>
          <w:sz w:val="24"/>
          <w:szCs w:val="24"/>
          <w:lang w:val="en-CA"/>
        </w:rPr>
        <w:t>a threat for</w:t>
      </w:r>
      <w:r w:rsidR="003B27D2">
        <w:rPr>
          <w:rFonts w:ascii="Times New Roman" w:hAnsi="Times New Roman"/>
          <w:sz w:val="24"/>
          <w:szCs w:val="24"/>
          <w:lang w:val="en-CA"/>
        </w:rPr>
        <w:t xml:space="preserve"> universal welfare states</w:t>
      </w:r>
      <w:r w:rsidR="00A01715">
        <w:rPr>
          <w:rFonts w:ascii="Times New Roman" w:hAnsi="Times New Roman"/>
          <w:sz w:val="24"/>
          <w:szCs w:val="24"/>
          <w:lang w:val="en-CA"/>
        </w:rPr>
        <w:t>?</w:t>
      </w:r>
    </w:p>
    <w:p w:rsidR="00792ACC" w:rsidRDefault="00792ACC" w:rsidP="00790EC0">
      <w:pPr>
        <w:spacing w:after="0" w:line="240" w:lineRule="auto"/>
        <w:rPr>
          <w:rFonts w:ascii="Times New Roman" w:hAnsi="Times New Roman"/>
          <w:sz w:val="24"/>
          <w:szCs w:val="24"/>
          <w:lang w:val="en-CA"/>
        </w:rPr>
      </w:pPr>
      <w:r>
        <w:rPr>
          <w:rFonts w:ascii="Times New Roman" w:hAnsi="Times New Roman"/>
          <w:sz w:val="24"/>
          <w:szCs w:val="24"/>
          <w:lang w:val="en-CA"/>
        </w:rPr>
        <w:br w:type="page"/>
      </w:r>
    </w:p>
    <w:p w:rsidR="00792ACC" w:rsidRDefault="00792ACC" w:rsidP="00790EC0">
      <w:pPr>
        <w:spacing w:line="240" w:lineRule="auto"/>
        <w:jc w:val="both"/>
        <w:rPr>
          <w:rFonts w:ascii="Times New Roman" w:hAnsi="Times New Roman"/>
          <w:sz w:val="24"/>
          <w:szCs w:val="24"/>
          <w:lang w:val="en-CA"/>
        </w:rPr>
      </w:pPr>
    </w:p>
    <w:p w:rsidR="00A01715" w:rsidRDefault="00ED554A" w:rsidP="00790EC0">
      <w:pPr>
        <w:spacing w:line="240" w:lineRule="auto"/>
        <w:jc w:val="both"/>
        <w:rPr>
          <w:rFonts w:ascii="Times New Roman" w:hAnsi="Times New Roman"/>
          <w:sz w:val="24"/>
          <w:szCs w:val="24"/>
          <w:lang w:val="en-CA"/>
        </w:rPr>
      </w:pPr>
      <w:r>
        <w:rPr>
          <w:rFonts w:ascii="Times New Roman" w:hAnsi="Times New Roman"/>
          <w:sz w:val="24"/>
          <w:szCs w:val="24"/>
          <w:lang w:val="en-CA"/>
        </w:rPr>
        <w:t>A</w:t>
      </w:r>
      <w:r w:rsidR="00A01715">
        <w:rPr>
          <w:rFonts w:ascii="Times New Roman" w:hAnsi="Times New Roman"/>
          <w:sz w:val="24"/>
          <w:szCs w:val="24"/>
          <w:lang w:val="en-CA"/>
        </w:rPr>
        <w:t>bstract</w:t>
      </w:r>
    </w:p>
    <w:p w:rsidR="00792ACC" w:rsidRDefault="00ED554A" w:rsidP="00790EC0">
      <w:pPr>
        <w:spacing w:line="240" w:lineRule="auto"/>
        <w:jc w:val="both"/>
        <w:rPr>
          <w:rFonts w:ascii="Times New Roman" w:hAnsi="Times New Roman"/>
          <w:sz w:val="24"/>
          <w:szCs w:val="24"/>
          <w:lang w:val="en-CA"/>
        </w:rPr>
      </w:pPr>
      <w:r>
        <w:rPr>
          <w:rFonts w:ascii="Times New Roman" w:hAnsi="Times New Roman"/>
          <w:sz w:val="24"/>
          <w:szCs w:val="24"/>
          <w:lang w:val="en-CA"/>
        </w:rPr>
        <w:t>Free movement</w:t>
      </w:r>
      <w:r w:rsidR="00792ACC">
        <w:rPr>
          <w:rFonts w:ascii="Times New Roman" w:hAnsi="Times New Roman"/>
          <w:sz w:val="24"/>
          <w:szCs w:val="24"/>
          <w:lang w:val="en-CA"/>
        </w:rPr>
        <w:t xml:space="preserve"> of workers</w:t>
      </w:r>
      <w:r>
        <w:rPr>
          <w:rFonts w:ascii="Times New Roman" w:hAnsi="Times New Roman"/>
          <w:sz w:val="24"/>
          <w:szCs w:val="24"/>
          <w:lang w:val="en-CA"/>
        </w:rPr>
        <w:t xml:space="preserve"> has been a cornerstone within the European Union since it was founded</w:t>
      </w:r>
      <w:r w:rsidR="00F31393">
        <w:rPr>
          <w:rFonts w:ascii="Times New Roman" w:hAnsi="Times New Roman"/>
          <w:sz w:val="24"/>
          <w:szCs w:val="24"/>
          <w:lang w:val="en-CA"/>
        </w:rPr>
        <w:t xml:space="preserve"> in 1957</w:t>
      </w:r>
      <w:r>
        <w:rPr>
          <w:rFonts w:ascii="Times New Roman" w:hAnsi="Times New Roman"/>
          <w:sz w:val="24"/>
          <w:szCs w:val="24"/>
          <w:lang w:val="en-CA"/>
        </w:rPr>
        <w:t>. A gradual improvement of rights also to other groups than workers has implied that rights related to free movement</w:t>
      </w:r>
      <w:r w:rsidR="003B27D2">
        <w:rPr>
          <w:rFonts w:ascii="Times New Roman" w:hAnsi="Times New Roman"/>
          <w:sz w:val="24"/>
          <w:szCs w:val="24"/>
          <w:lang w:val="en-CA"/>
        </w:rPr>
        <w:t xml:space="preserve"> already </w:t>
      </w:r>
      <w:r>
        <w:rPr>
          <w:rFonts w:ascii="Times New Roman" w:hAnsi="Times New Roman"/>
          <w:sz w:val="24"/>
          <w:szCs w:val="24"/>
          <w:lang w:val="en-CA"/>
        </w:rPr>
        <w:t>have had an impact on universal welfare states</w:t>
      </w:r>
      <w:r w:rsidR="00974377">
        <w:rPr>
          <w:rFonts w:ascii="Times New Roman" w:hAnsi="Times New Roman"/>
          <w:sz w:val="24"/>
          <w:szCs w:val="24"/>
          <w:lang w:val="en-CA"/>
        </w:rPr>
        <w:t xml:space="preserve"> social security</w:t>
      </w:r>
      <w:r w:rsidR="003B27D2">
        <w:rPr>
          <w:rFonts w:ascii="Times New Roman" w:hAnsi="Times New Roman"/>
          <w:sz w:val="24"/>
          <w:szCs w:val="24"/>
          <w:lang w:val="en-CA"/>
        </w:rPr>
        <w:t xml:space="preserve">, especially in the </w:t>
      </w:r>
      <w:r w:rsidR="00974377">
        <w:rPr>
          <w:rFonts w:ascii="Times New Roman" w:hAnsi="Times New Roman"/>
          <w:sz w:val="24"/>
          <w:szCs w:val="24"/>
          <w:lang w:val="en-CA"/>
        </w:rPr>
        <w:t>area of pensions</w:t>
      </w:r>
      <w:r>
        <w:rPr>
          <w:rFonts w:ascii="Times New Roman" w:hAnsi="Times New Roman"/>
          <w:sz w:val="24"/>
          <w:szCs w:val="24"/>
          <w:lang w:val="en-CA"/>
        </w:rPr>
        <w:t xml:space="preserve">. </w:t>
      </w:r>
      <w:r w:rsidR="00792ACC">
        <w:rPr>
          <w:rFonts w:ascii="Times New Roman" w:hAnsi="Times New Roman"/>
          <w:sz w:val="24"/>
          <w:szCs w:val="24"/>
          <w:lang w:val="en-CA"/>
        </w:rPr>
        <w:t xml:space="preserve">Given the enlargement </w:t>
      </w:r>
      <w:r w:rsidR="00974377">
        <w:rPr>
          <w:rFonts w:ascii="Times New Roman" w:hAnsi="Times New Roman"/>
          <w:sz w:val="24"/>
          <w:szCs w:val="24"/>
          <w:lang w:val="en-CA"/>
        </w:rPr>
        <w:t xml:space="preserve">in the last 10 years </w:t>
      </w:r>
      <w:r w:rsidR="00F31393">
        <w:rPr>
          <w:rFonts w:ascii="Times New Roman" w:hAnsi="Times New Roman"/>
          <w:sz w:val="24"/>
          <w:szCs w:val="24"/>
          <w:lang w:val="en-CA"/>
        </w:rPr>
        <w:t>and further also strong</w:t>
      </w:r>
      <w:r w:rsidR="00792ACC">
        <w:rPr>
          <w:rFonts w:ascii="Times New Roman" w:hAnsi="Times New Roman"/>
          <w:sz w:val="24"/>
          <w:szCs w:val="24"/>
          <w:lang w:val="en-CA"/>
        </w:rPr>
        <w:t xml:space="preserve"> </w:t>
      </w:r>
      <w:r w:rsidR="00974377">
        <w:rPr>
          <w:rFonts w:ascii="Times New Roman" w:hAnsi="Times New Roman"/>
          <w:sz w:val="24"/>
          <w:szCs w:val="24"/>
          <w:lang w:val="en-CA"/>
        </w:rPr>
        <w:t xml:space="preserve">increase in </w:t>
      </w:r>
      <w:r w:rsidR="00F31393">
        <w:rPr>
          <w:rFonts w:ascii="Times New Roman" w:hAnsi="Times New Roman"/>
          <w:sz w:val="24"/>
          <w:szCs w:val="24"/>
          <w:lang w:val="en-CA"/>
        </w:rPr>
        <w:t xml:space="preserve">the inter-EU </w:t>
      </w:r>
      <w:r w:rsidR="00792ACC">
        <w:rPr>
          <w:rFonts w:ascii="Times New Roman" w:hAnsi="Times New Roman"/>
          <w:sz w:val="24"/>
          <w:szCs w:val="24"/>
          <w:lang w:val="en-CA"/>
        </w:rPr>
        <w:t xml:space="preserve">migration this might be even stronger than earlier. </w:t>
      </w:r>
      <w:r>
        <w:rPr>
          <w:rFonts w:ascii="Times New Roman" w:hAnsi="Times New Roman"/>
          <w:sz w:val="24"/>
          <w:szCs w:val="24"/>
          <w:lang w:val="en-CA"/>
        </w:rPr>
        <w:t>This articl</w:t>
      </w:r>
      <w:r w:rsidR="00A76A03">
        <w:rPr>
          <w:rFonts w:ascii="Times New Roman" w:hAnsi="Times New Roman"/>
          <w:sz w:val="24"/>
          <w:szCs w:val="24"/>
          <w:lang w:val="en-CA"/>
        </w:rPr>
        <w:t>e, using Denmark as a case</w:t>
      </w:r>
      <w:r>
        <w:rPr>
          <w:rFonts w:ascii="Times New Roman" w:hAnsi="Times New Roman"/>
          <w:sz w:val="24"/>
          <w:szCs w:val="24"/>
          <w:lang w:val="en-CA"/>
        </w:rPr>
        <w:t>, indicates how the free-movement</w:t>
      </w:r>
      <w:r w:rsidR="00792ACC">
        <w:rPr>
          <w:rFonts w:ascii="Times New Roman" w:hAnsi="Times New Roman"/>
          <w:sz w:val="24"/>
          <w:szCs w:val="24"/>
          <w:lang w:val="en-CA"/>
        </w:rPr>
        <w:t xml:space="preserve"> can imply over time</w:t>
      </w:r>
      <w:r w:rsidR="009B7B09">
        <w:rPr>
          <w:rFonts w:ascii="Times New Roman" w:hAnsi="Times New Roman"/>
          <w:sz w:val="24"/>
          <w:szCs w:val="24"/>
          <w:lang w:val="en-CA"/>
        </w:rPr>
        <w:t xml:space="preserve"> pressure towards</w:t>
      </w:r>
      <w:r w:rsidR="00792ACC">
        <w:rPr>
          <w:rFonts w:ascii="Times New Roman" w:hAnsi="Times New Roman"/>
          <w:sz w:val="24"/>
          <w:szCs w:val="24"/>
          <w:lang w:val="en-CA"/>
        </w:rPr>
        <w:t xml:space="preserve"> convergence and thereby</w:t>
      </w:r>
      <w:r>
        <w:rPr>
          <w:rFonts w:ascii="Times New Roman" w:hAnsi="Times New Roman"/>
          <w:sz w:val="24"/>
          <w:szCs w:val="24"/>
          <w:lang w:val="en-CA"/>
        </w:rPr>
        <w:t xml:space="preserve"> Europeanization of welfare states in Europe</w:t>
      </w:r>
      <w:r w:rsidR="003B27D2">
        <w:rPr>
          <w:rFonts w:ascii="Times New Roman" w:hAnsi="Times New Roman"/>
          <w:sz w:val="24"/>
          <w:szCs w:val="24"/>
          <w:lang w:val="en-CA"/>
        </w:rPr>
        <w:t>, and focusses especially on the</w:t>
      </w:r>
      <w:r w:rsidR="00A76A03">
        <w:rPr>
          <w:rFonts w:ascii="Times New Roman" w:hAnsi="Times New Roman"/>
          <w:sz w:val="24"/>
          <w:szCs w:val="24"/>
          <w:lang w:val="en-CA"/>
        </w:rPr>
        <w:t xml:space="preserve"> pressure on the univer</w:t>
      </w:r>
      <w:r w:rsidR="003B27D2">
        <w:rPr>
          <w:rFonts w:ascii="Times New Roman" w:hAnsi="Times New Roman"/>
          <w:sz w:val="24"/>
          <w:szCs w:val="24"/>
          <w:lang w:val="en-CA"/>
        </w:rPr>
        <w:t>sality of the Danish welfare state moving it</w:t>
      </w:r>
      <w:r w:rsidR="00A76A03">
        <w:rPr>
          <w:rFonts w:ascii="Times New Roman" w:hAnsi="Times New Roman"/>
          <w:sz w:val="24"/>
          <w:szCs w:val="24"/>
          <w:lang w:val="en-CA"/>
        </w:rPr>
        <w:t xml:space="preserve"> away from one of their distinctiveness in the</w:t>
      </w:r>
      <w:r w:rsidR="00F31393">
        <w:rPr>
          <w:rFonts w:ascii="Times New Roman" w:hAnsi="Times New Roman"/>
          <w:sz w:val="24"/>
          <w:szCs w:val="24"/>
          <w:lang w:val="en-CA"/>
        </w:rPr>
        <w:t xml:space="preserve"> Nordic</w:t>
      </w:r>
      <w:r w:rsidR="00A76A03">
        <w:rPr>
          <w:rFonts w:ascii="Times New Roman" w:hAnsi="Times New Roman"/>
          <w:sz w:val="24"/>
          <w:szCs w:val="24"/>
          <w:lang w:val="en-CA"/>
        </w:rPr>
        <w:t xml:space="preserve"> welfare state model</w:t>
      </w:r>
      <w:r w:rsidR="003B27D2">
        <w:rPr>
          <w:rFonts w:ascii="Times New Roman" w:hAnsi="Times New Roman"/>
          <w:sz w:val="24"/>
          <w:szCs w:val="24"/>
          <w:lang w:val="en-CA"/>
        </w:rPr>
        <w:t>: the universal access to benefits</w:t>
      </w:r>
      <w:r>
        <w:rPr>
          <w:rFonts w:ascii="Times New Roman" w:hAnsi="Times New Roman"/>
          <w:sz w:val="24"/>
          <w:szCs w:val="24"/>
          <w:lang w:val="en-CA"/>
        </w:rPr>
        <w:t>.</w:t>
      </w:r>
      <w:r w:rsidR="00974377">
        <w:rPr>
          <w:rFonts w:ascii="Times New Roman" w:hAnsi="Times New Roman"/>
          <w:sz w:val="24"/>
          <w:szCs w:val="24"/>
          <w:lang w:val="en-CA"/>
        </w:rPr>
        <w:t xml:space="preserve"> It also raises the question whether or not recent development once again is opening the debate on social dumping in Europe.</w:t>
      </w:r>
    </w:p>
    <w:p w:rsidR="00F31393" w:rsidRDefault="00F31393" w:rsidP="00790EC0">
      <w:pPr>
        <w:spacing w:after="0" w:line="240" w:lineRule="auto"/>
        <w:rPr>
          <w:rFonts w:ascii="Times New Roman" w:hAnsi="Times New Roman"/>
          <w:sz w:val="24"/>
          <w:szCs w:val="24"/>
          <w:lang w:val="en-CA"/>
        </w:rPr>
      </w:pPr>
    </w:p>
    <w:p w:rsidR="00792ACC" w:rsidRDefault="00F31393" w:rsidP="00790EC0">
      <w:pPr>
        <w:spacing w:after="0" w:line="240" w:lineRule="auto"/>
        <w:rPr>
          <w:rFonts w:ascii="Times New Roman" w:hAnsi="Times New Roman"/>
          <w:sz w:val="24"/>
          <w:szCs w:val="24"/>
          <w:lang w:val="en-CA"/>
        </w:rPr>
      </w:pPr>
      <w:r>
        <w:rPr>
          <w:rFonts w:ascii="Times New Roman" w:hAnsi="Times New Roman"/>
          <w:sz w:val="24"/>
          <w:szCs w:val="24"/>
          <w:lang w:val="en-CA"/>
        </w:rPr>
        <w:t>Key-words: free-movement, Nordic welfare states, Europeanization, welfare benefits</w:t>
      </w:r>
      <w:r w:rsidR="00792ACC">
        <w:rPr>
          <w:rFonts w:ascii="Times New Roman" w:hAnsi="Times New Roman"/>
          <w:sz w:val="24"/>
          <w:szCs w:val="24"/>
          <w:lang w:val="en-CA"/>
        </w:rPr>
        <w:br w:type="page"/>
      </w:r>
    </w:p>
    <w:p w:rsidR="00915A58" w:rsidRPr="00FB4DD8" w:rsidRDefault="00915A58" w:rsidP="00790EC0">
      <w:pPr>
        <w:pStyle w:val="Overskrift3"/>
        <w:spacing w:line="240" w:lineRule="auto"/>
        <w:rPr>
          <w:lang w:val="en-CA"/>
        </w:rPr>
      </w:pPr>
      <w:r w:rsidRPr="00FB4DD8">
        <w:rPr>
          <w:lang w:val="en-CA"/>
        </w:rPr>
        <w:lastRenderedPageBreak/>
        <w:t>1 Introduction</w:t>
      </w:r>
    </w:p>
    <w:p w:rsidR="00915A58" w:rsidRPr="00FB4DD8" w:rsidRDefault="00915A58" w:rsidP="00790EC0">
      <w:pPr>
        <w:spacing w:line="240" w:lineRule="auto"/>
        <w:jc w:val="both"/>
        <w:rPr>
          <w:rFonts w:ascii="Times New Roman" w:hAnsi="Times New Roman"/>
          <w:sz w:val="24"/>
          <w:szCs w:val="24"/>
          <w:lang w:val="en-CA"/>
        </w:rPr>
      </w:pPr>
    </w:p>
    <w:p w:rsidR="003B27D2" w:rsidRDefault="00915A58" w:rsidP="00790EC0">
      <w:pPr>
        <w:spacing w:line="240" w:lineRule="auto"/>
        <w:jc w:val="both"/>
        <w:rPr>
          <w:rFonts w:ascii="Times New Roman" w:eastAsia="Times New Roman" w:hAnsi="Times New Roman"/>
          <w:sz w:val="24"/>
          <w:szCs w:val="24"/>
          <w:lang w:val="en-US" w:eastAsia="de-DE"/>
        </w:rPr>
      </w:pPr>
      <w:r w:rsidRPr="00FB4DD8">
        <w:rPr>
          <w:rFonts w:ascii="Times New Roman" w:hAnsi="Times New Roman"/>
          <w:sz w:val="24"/>
          <w:szCs w:val="24"/>
          <w:lang w:val="en-CA"/>
        </w:rPr>
        <w:t>Welfare states and welfare stat</w:t>
      </w:r>
      <w:r w:rsidR="00974377">
        <w:rPr>
          <w:rFonts w:ascii="Times New Roman" w:hAnsi="Times New Roman"/>
          <w:sz w:val="24"/>
          <w:szCs w:val="24"/>
          <w:lang w:val="en-CA"/>
        </w:rPr>
        <w:t>e policies are argued</w:t>
      </w:r>
      <w:r w:rsidRPr="00FB4DD8">
        <w:rPr>
          <w:rFonts w:ascii="Times New Roman" w:hAnsi="Times New Roman"/>
          <w:sz w:val="24"/>
          <w:szCs w:val="24"/>
          <w:lang w:val="en-CA"/>
        </w:rPr>
        <w:t xml:space="preserve"> to be national prerogatives, but seemingly there is also an intern</w:t>
      </w:r>
      <w:r w:rsidR="00974377">
        <w:rPr>
          <w:rFonts w:ascii="Times New Roman" w:hAnsi="Times New Roman"/>
          <w:sz w:val="24"/>
          <w:szCs w:val="24"/>
          <w:lang w:val="en-CA"/>
        </w:rPr>
        <w:t>ational perspective</w:t>
      </w:r>
      <w:r w:rsidRPr="00FB4DD8">
        <w:rPr>
          <w:rFonts w:ascii="Times New Roman" w:hAnsi="Times New Roman"/>
          <w:sz w:val="24"/>
          <w:szCs w:val="24"/>
          <w:lang w:val="en-CA"/>
        </w:rPr>
        <w:t xml:space="preserve">. This </w:t>
      </w:r>
      <w:r w:rsidR="00ED554A">
        <w:rPr>
          <w:rFonts w:ascii="Times New Roman" w:hAnsi="Times New Roman"/>
          <w:sz w:val="24"/>
          <w:szCs w:val="24"/>
          <w:lang w:val="en-CA"/>
        </w:rPr>
        <w:t>article</w:t>
      </w:r>
      <w:r w:rsidR="00D713DC">
        <w:rPr>
          <w:rFonts w:ascii="Times New Roman" w:hAnsi="Times New Roman"/>
          <w:sz w:val="24"/>
          <w:szCs w:val="24"/>
          <w:lang w:val="en-CA"/>
        </w:rPr>
        <w:t xml:space="preserve"> </w:t>
      </w:r>
      <w:r w:rsidR="00ED554A">
        <w:rPr>
          <w:rFonts w:ascii="Times New Roman" w:hAnsi="Times New Roman"/>
          <w:sz w:val="24"/>
          <w:szCs w:val="24"/>
          <w:lang w:val="en-CA"/>
        </w:rPr>
        <w:t>has as</w:t>
      </w:r>
      <w:r w:rsidRPr="00FB4DD8">
        <w:rPr>
          <w:rFonts w:ascii="Times New Roman" w:hAnsi="Times New Roman"/>
          <w:sz w:val="24"/>
          <w:szCs w:val="24"/>
          <w:lang w:val="en-CA"/>
        </w:rPr>
        <w:t xml:space="preserve"> focus</w:t>
      </w:r>
      <w:r w:rsidR="00D713DC">
        <w:rPr>
          <w:rFonts w:ascii="Times New Roman" w:hAnsi="Times New Roman"/>
          <w:sz w:val="24"/>
          <w:szCs w:val="24"/>
          <w:lang w:val="en-CA"/>
        </w:rPr>
        <w:t xml:space="preserve"> </w:t>
      </w:r>
      <w:r w:rsidRPr="00FB4DD8">
        <w:rPr>
          <w:rFonts w:ascii="Times New Roman" w:hAnsi="Times New Roman"/>
          <w:sz w:val="24"/>
          <w:szCs w:val="24"/>
          <w:lang w:val="en-CA"/>
        </w:rPr>
        <w:t>how the interrelated issu</w:t>
      </w:r>
      <w:r w:rsidR="00A76A03">
        <w:rPr>
          <w:rFonts w:ascii="Times New Roman" w:hAnsi="Times New Roman"/>
          <w:sz w:val="24"/>
          <w:szCs w:val="24"/>
          <w:lang w:val="en-CA"/>
        </w:rPr>
        <w:t>es combining supranational rules</w:t>
      </w:r>
      <w:r w:rsidR="00974377">
        <w:rPr>
          <w:rFonts w:ascii="Times New Roman" w:hAnsi="Times New Roman"/>
          <w:sz w:val="24"/>
          <w:szCs w:val="24"/>
          <w:lang w:val="en-CA"/>
        </w:rPr>
        <w:t>, decisions</w:t>
      </w:r>
      <w:r w:rsidRPr="00FB4DD8">
        <w:rPr>
          <w:rFonts w:ascii="Times New Roman" w:hAnsi="Times New Roman"/>
          <w:sz w:val="24"/>
          <w:szCs w:val="24"/>
          <w:lang w:val="en-CA"/>
        </w:rPr>
        <w:t xml:space="preserve"> and policies and national approaches might have an impact on the welfare states </w:t>
      </w:r>
      <w:r w:rsidR="003B27D2">
        <w:rPr>
          <w:rFonts w:ascii="Times New Roman" w:hAnsi="Times New Roman"/>
          <w:sz w:val="24"/>
          <w:szCs w:val="24"/>
          <w:lang w:val="en-CA"/>
        </w:rPr>
        <w:t>structure of social security benefits</w:t>
      </w:r>
      <w:r w:rsidR="00ED554A">
        <w:rPr>
          <w:rFonts w:ascii="Times New Roman" w:hAnsi="Times New Roman"/>
          <w:sz w:val="24"/>
          <w:szCs w:val="24"/>
          <w:lang w:val="en-CA"/>
        </w:rPr>
        <w:t xml:space="preserve"> e</w:t>
      </w:r>
      <w:r w:rsidR="00974377">
        <w:rPr>
          <w:rFonts w:ascii="Times New Roman" w:hAnsi="Times New Roman"/>
          <w:sz w:val="24"/>
          <w:szCs w:val="24"/>
          <w:lang w:val="en-CA"/>
        </w:rPr>
        <w:t>specially</w:t>
      </w:r>
      <w:r w:rsidR="009B7B09">
        <w:rPr>
          <w:rFonts w:ascii="Times New Roman" w:hAnsi="Times New Roman"/>
          <w:sz w:val="24"/>
          <w:szCs w:val="24"/>
          <w:lang w:val="en-CA"/>
        </w:rPr>
        <w:t xml:space="preserve"> with a focus on </w:t>
      </w:r>
      <w:r w:rsidR="00974377">
        <w:rPr>
          <w:rFonts w:ascii="Times New Roman" w:hAnsi="Times New Roman"/>
          <w:sz w:val="24"/>
          <w:szCs w:val="24"/>
          <w:lang w:val="en-CA"/>
        </w:rPr>
        <w:t xml:space="preserve"> benefits</w:t>
      </w:r>
      <w:r w:rsidR="00ED554A">
        <w:rPr>
          <w:rFonts w:ascii="Times New Roman" w:hAnsi="Times New Roman"/>
          <w:sz w:val="24"/>
          <w:szCs w:val="24"/>
          <w:lang w:val="en-CA"/>
        </w:rPr>
        <w:t xml:space="preserve"> related to the free-movement, but also to a more limited extend related to social services.</w:t>
      </w:r>
      <w:r w:rsidR="00D713DC">
        <w:rPr>
          <w:rFonts w:ascii="Times New Roman" w:hAnsi="Times New Roman"/>
          <w:sz w:val="24"/>
          <w:szCs w:val="24"/>
          <w:lang w:val="en-CA"/>
        </w:rPr>
        <w:t xml:space="preserve"> </w:t>
      </w:r>
      <w:r w:rsidR="00ED554A">
        <w:rPr>
          <w:rFonts w:ascii="Times New Roman" w:hAnsi="Times New Roman"/>
          <w:sz w:val="24"/>
          <w:szCs w:val="24"/>
          <w:lang w:val="en-CA"/>
        </w:rPr>
        <w:t>T</w:t>
      </w:r>
      <w:r>
        <w:rPr>
          <w:rFonts w:ascii="Times New Roman" w:hAnsi="Times New Roman"/>
          <w:sz w:val="24"/>
          <w:szCs w:val="24"/>
          <w:lang w:val="en-CA"/>
        </w:rPr>
        <w:t xml:space="preserve">he </w:t>
      </w:r>
      <w:r w:rsidRPr="00FB4DD8">
        <w:rPr>
          <w:rFonts w:ascii="Times New Roman" w:hAnsi="Times New Roman"/>
          <w:sz w:val="24"/>
          <w:szCs w:val="24"/>
          <w:lang w:val="en-CA"/>
        </w:rPr>
        <w:t>free movement of workers</w:t>
      </w:r>
      <w:r w:rsidR="00ED554A">
        <w:rPr>
          <w:rFonts w:ascii="Times New Roman" w:hAnsi="Times New Roman"/>
          <w:sz w:val="24"/>
          <w:szCs w:val="24"/>
          <w:lang w:val="en-CA"/>
        </w:rPr>
        <w:t xml:space="preserve"> has be</w:t>
      </w:r>
      <w:r w:rsidR="00974377">
        <w:rPr>
          <w:rFonts w:ascii="Times New Roman" w:hAnsi="Times New Roman"/>
          <w:sz w:val="24"/>
          <w:szCs w:val="24"/>
          <w:lang w:val="en-CA"/>
        </w:rPr>
        <w:t xml:space="preserve">en central since EU was founded. This </w:t>
      </w:r>
      <w:r w:rsidR="00ED554A">
        <w:rPr>
          <w:rFonts w:ascii="Times New Roman" w:hAnsi="Times New Roman"/>
          <w:sz w:val="24"/>
          <w:szCs w:val="24"/>
          <w:lang w:val="en-CA"/>
        </w:rPr>
        <w:t>has also implied an impact on social security co-ordination</w:t>
      </w:r>
      <w:r w:rsidR="00ED554A">
        <w:rPr>
          <w:rStyle w:val="Fodnotehenvisning"/>
          <w:rFonts w:ascii="Times New Roman" w:hAnsi="Times New Roman"/>
          <w:sz w:val="24"/>
          <w:szCs w:val="24"/>
          <w:lang w:val="en-CA"/>
        </w:rPr>
        <w:footnoteReference w:id="1"/>
      </w:r>
      <w:r w:rsidRPr="00FB4DD8">
        <w:rPr>
          <w:rFonts w:ascii="Times New Roman" w:hAnsi="Times New Roman"/>
          <w:sz w:val="24"/>
          <w:szCs w:val="24"/>
          <w:lang w:val="en-CA"/>
        </w:rPr>
        <w:t>,</w:t>
      </w:r>
      <w:r w:rsidR="00A76A03">
        <w:rPr>
          <w:rFonts w:ascii="Times New Roman" w:hAnsi="Times New Roman"/>
          <w:sz w:val="24"/>
          <w:szCs w:val="24"/>
          <w:lang w:val="en-CA"/>
        </w:rPr>
        <w:t xml:space="preserve"> and, </w:t>
      </w:r>
      <w:r w:rsidR="003B27D2">
        <w:rPr>
          <w:rFonts w:ascii="Times New Roman" w:hAnsi="Times New Roman"/>
          <w:sz w:val="24"/>
          <w:szCs w:val="24"/>
          <w:lang w:val="en-CA"/>
        </w:rPr>
        <w:t xml:space="preserve">thereby </w:t>
      </w:r>
      <w:r w:rsidR="00A76A03">
        <w:rPr>
          <w:rFonts w:ascii="Times New Roman" w:hAnsi="Times New Roman"/>
          <w:sz w:val="24"/>
          <w:szCs w:val="24"/>
          <w:lang w:val="en-CA"/>
        </w:rPr>
        <w:t>on the development</w:t>
      </w:r>
      <w:r w:rsidR="00D306F5">
        <w:rPr>
          <w:rFonts w:ascii="Times New Roman" w:hAnsi="Times New Roman"/>
          <w:sz w:val="24"/>
          <w:szCs w:val="24"/>
          <w:lang w:val="en-CA"/>
        </w:rPr>
        <w:t xml:space="preserve"> and structure welfare states can take.</w:t>
      </w:r>
      <w:r w:rsidRPr="00FB4DD8">
        <w:rPr>
          <w:rFonts w:ascii="Times New Roman" w:hAnsi="Times New Roman"/>
          <w:sz w:val="24"/>
          <w:szCs w:val="24"/>
          <w:lang w:val="en-CA"/>
        </w:rPr>
        <w:t xml:space="preserve"> </w:t>
      </w:r>
      <w:r w:rsidR="00D306F5">
        <w:rPr>
          <w:rFonts w:ascii="Times New Roman" w:hAnsi="Times New Roman"/>
          <w:sz w:val="24"/>
          <w:szCs w:val="24"/>
          <w:lang w:val="en-CA"/>
        </w:rPr>
        <w:t>Naturally,</w:t>
      </w:r>
      <w:r w:rsidRPr="00FB4DD8">
        <w:rPr>
          <w:rFonts w:ascii="Times New Roman" w:hAnsi="Times New Roman"/>
          <w:sz w:val="24"/>
          <w:szCs w:val="24"/>
          <w:lang w:val="en-CA"/>
        </w:rPr>
        <w:t xml:space="preserve"> </w:t>
      </w:r>
      <w:r>
        <w:rPr>
          <w:rFonts w:ascii="Times New Roman" w:hAnsi="Times New Roman"/>
          <w:sz w:val="24"/>
          <w:szCs w:val="24"/>
          <w:lang w:val="en-CA"/>
        </w:rPr>
        <w:t xml:space="preserve">the </w:t>
      </w:r>
      <w:r w:rsidRPr="00FB4DD8">
        <w:rPr>
          <w:rFonts w:ascii="Times New Roman" w:hAnsi="Times New Roman"/>
          <w:sz w:val="24"/>
          <w:szCs w:val="24"/>
          <w:lang w:val="en-CA"/>
        </w:rPr>
        <w:t xml:space="preserve">equal treatment of men and women, </w:t>
      </w:r>
      <w:r>
        <w:rPr>
          <w:rFonts w:ascii="Times New Roman" w:hAnsi="Times New Roman"/>
          <w:sz w:val="24"/>
          <w:szCs w:val="24"/>
          <w:lang w:val="en-CA"/>
        </w:rPr>
        <w:t>as well as</w:t>
      </w:r>
      <w:r w:rsidRPr="00FB4DD8">
        <w:rPr>
          <w:rFonts w:ascii="Times New Roman" w:hAnsi="Times New Roman"/>
          <w:sz w:val="24"/>
          <w:szCs w:val="24"/>
          <w:lang w:val="en-CA"/>
        </w:rPr>
        <w:t xml:space="preserve"> the free movement of goods and services might</w:t>
      </w:r>
      <w:r w:rsidR="00792ACC">
        <w:rPr>
          <w:rFonts w:ascii="Times New Roman" w:hAnsi="Times New Roman"/>
          <w:sz w:val="24"/>
          <w:szCs w:val="24"/>
          <w:lang w:val="en-CA"/>
        </w:rPr>
        <w:t xml:space="preserve"> also</w:t>
      </w:r>
      <w:r w:rsidRPr="00FB4DD8">
        <w:rPr>
          <w:rFonts w:ascii="Times New Roman" w:hAnsi="Times New Roman"/>
          <w:sz w:val="24"/>
          <w:szCs w:val="24"/>
          <w:lang w:val="en-CA"/>
        </w:rPr>
        <w:t xml:space="preserve"> influence </w:t>
      </w:r>
      <w:r>
        <w:rPr>
          <w:rFonts w:ascii="Times New Roman" w:hAnsi="Times New Roman"/>
          <w:sz w:val="24"/>
          <w:szCs w:val="24"/>
          <w:lang w:val="en-CA"/>
        </w:rPr>
        <w:t>the</w:t>
      </w:r>
      <w:r w:rsidR="00D713DC">
        <w:rPr>
          <w:rFonts w:ascii="Times New Roman" w:hAnsi="Times New Roman"/>
          <w:sz w:val="24"/>
          <w:szCs w:val="24"/>
          <w:lang w:val="en-CA"/>
        </w:rPr>
        <w:t xml:space="preserve"> </w:t>
      </w:r>
      <w:r w:rsidR="00D306F5">
        <w:rPr>
          <w:rFonts w:ascii="Times New Roman" w:hAnsi="Times New Roman"/>
          <w:sz w:val="24"/>
          <w:szCs w:val="24"/>
          <w:lang w:val="en-CA"/>
        </w:rPr>
        <w:t>welfare states</w:t>
      </w:r>
      <w:r w:rsidRPr="00FB4DD8">
        <w:rPr>
          <w:rFonts w:ascii="Times New Roman" w:hAnsi="Times New Roman"/>
          <w:sz w:val="24"/>
          <w:szCs w:val="24"/>
          <w:lang w:val="en-CA"/>
        </w:rPr>
        <w:t>. Theories of</w:t>
      </w:r>
      <w:r w:rsidRPr="00374556">
        <w:rPr>
          <w:rFonts w:ascii="Times New Roman" w:hAnsi="Times New Roman"/>
          <w:sz w:val="24"/>
          <w:szCs w:val="24"/>
        </w:rPr>
        <w:t xml:space="preserve"> </w:t>
      </w:r>
      <w:r w:rsidR="00374556" w:rsidRPr="00374556">
        <w:rPr>
          <w:rFonts w:ascii="Times New Roman" w:hAnsi="Times New Roman"/>
          <w:sz w:val="24"/>
          <w:szCs w:val="24"/>
        </w:rPr>
        <w:t>Europeanization</w:t>
      </w:r>
      <w:r w:rsidRPr="00FB4DD8">
        <w:rPr>
          <w:rFonts w:ascii="Times New Roman" w:hAnsi="Times New Roman"/>
          <w:sz w:val="24"/>
          <w:szCs w:val="24"/>
          <w:lang w:val="en-CA"/>
        </w:rPr>
        <w:t xml:space="preserve"> will first be touched upon</w:t>
      </w:r>
      <w:r>
        <w:rPr>
          <w:rFonts w:ascii="Times New Roman" w:hAnsi="Times New Roman"/>
          <w:sz w:val="24"/>
          <w:szCs w:val="24"/>
          <w:lang w:val="en-CA"/>
        </w:rPr>
        <w:t>,</w:t>
      </w:r>
      <w:r w:rsidRPr="00FB4DD8">
        <w:rPr>
          <w:rFonts w:ascii="Times New Roman" w:hAnsi="Times New Roman"/>
          <w:sz w:val="24"/>
          <w:szCs w:val="24"/>
          <w:lang w:val="en-CA"/>
        </w:rPr>
        <w:t xml:space="preserve"> albeit only </w:t>
      </w:r>
      <w:r>
        <w:rPr>
          <w:rFonts w:ascii="Times New Roman" w:hAnsi="Times New Roman"/>
          <w:sz w:val="24"/>
          <w:szCs w:val="24"/>
          <w:lang w:val="en-CA"/>
        </w:rPr>
        <w:t>briefly,</w:t>
      </w:r>
      <w:r w:rsidRPr="00FB4DD8">
        <w:rPr>
          <w:rFonts w:ascii="Times New Roman" w:hAnsi="Times New Roman"/>
          <w:sz w:val="24"/>
          <w:szCs w:val="24"/>
          <w:lang w:val="en-CA"/>
        </w:rPr>
        <w:t xml:space="preserve"> given that the focus here is on impact</w:t>
      </w:r>
      <w:r w:rsidR="00D306F5">
        <w:rPr>
          <w:rFonts w:ascii="Times New Roman" w:hAnsi="Times New Roman"/>
          <w:sz w:val="24"/>
          <w:szCs w:val="24"/>
          <w:lang w:val="en-CA"/>
        </w:rPr>
        <w:t xml:space="preserve"> on the Danish welfare state especially by the rules regarding the free-movement of work</w:t>
      </w:r>
      <w:r w:rsidR="00792ACC">
        <w:rPr>
          <w:rFonts w:ascii="Times New Roman" w:hAnsi="Times New Roman"/>
          <w:sz w:val="24"/>
          <w:szCs w:val="24"/>
          <w:lang w:val="en-CA"/>
        </w:rPr>
        <w:t>er</w:t>
      </w:r>
      <w:r w:rsidR="00D306F5">
        <w:rPr>
          <w:rFonts w:ascii="Times New Roman" w:hAnsi="Times New Roman"/>
          <w:sz w:val="24"/>
          <w:szCs w:val="24"/>
          <w:lang w:val="en-CA"/>
        </w:rPr>
        <w:t xml:space="preserve">s. </w:t>
      </w:r>
      <w:r w:rsidR="00BA0004">
        <w:rPr>
          <w:rFonts w:ascii="Times New Roman" w:hAnsi="Times New Roman"/>
          <w:sz w:val="24"/>
          <w:szCs w:val="24"/>
          <w:lang w:val="en-CA"/>
        </w:rPr>
        <w:t xml:space="preserve">A short section on EU’s </w:t>
      </w:r>
      <w:r w:rsidR="00792ACC">
        <w:rPr>
          <w:rFonts w:ascii="Times New Roman" w:hAnsi="Times New Roman"/>
          <w:sz w:val="24"/>
          <w:szCs w:val="24"/>
          <w:lang w:val="en-CA"/>
        </w:rPr>
        <w:t xml:space="preserve">possible </w:t>
      </w:r>
      <w:r w:rsidR="00BA0004">
        <w:rPr>
          <w:rFonts w:ascii="Times New Roman" w:hAnsi="Times New Roman"/>
          <w:sz w:val="24"/>
          <w:szCs w:val="24"/>
          <w:lang w:val="en-CA"/>
        </w:rPr>
        <w:t xml:space="preserve">influence on welfare </w:t>
      </w:r>
      <w:r w:rsidR="00792ACC">
        <w:rPr>
          <w:rFonts w:ascii="Times New Roman" w:hAnsi="Times New Roman"/>
          <w:sz w:val="24"/>
          <w:szCs w:val="24"/>
          <w:lang w:val="en-CA"/>
        </w:rPr>
        <w:t xml:space="preserve">states </w:t>
      </w:r>
      <w:r w:rsidR="00BA0004">
        <w:rPr>
          <w:rFonts w:ascii="Times New Roman" w:hAnsi="Times New Roman"/>
          <w:sz w:val="24"/>
          <w:szCs w:val="24"/>
          <w:lang w:val="en-CA"/>
        </w:rPr>
        <w:t xml:space="preserve">will then be presented. </w:t>
      </w:r>
      <w:r w:rsidR="00D306F5">
        <w:rPr>
          <w:rFonts w:ascii="Times New Roman" w:hAnsi="Times New Roman"/>
          <w:sz w:val="24"/>
          <w:szCs w:val="24"/>
          <w:lang w:val="en-CA"/>
        </w:rPr>
        <w:t>Thereafter the article will have a discussion on changes specifically re</w:t>
      </w:r>
      <w:r w:rsidR="009B7B09">
        <w:rPr>
          <w:rFonts w:ascii="Times New Roman" w:hAnsi="Times New Roman"/>
          <w:sz w:val="24"/>
          <w:szCs w:val="24"/>
          <w:lang w:val="en-CA"/>
        </w:rPr>
        <w:t>lated to the free-movement</w:t>
      </w:r>
      <w:r w:rsidR="00D306F5">
        <w:rPr>
          <w:rFonts w:ascii="Times New Roman" w:hAnsi="Times New Roman"/>
          <w:sz w:val="24"/>
          <w:szCs w:val="24"/>
          <w:lang w:val="en-CA"/>
        </w:rPr>
        <w:t xml:space="preserve"> and </w:t>
      </w:r>
      <w:r w:rsidR="009B7B09">
        <w:rPr>
          <w:rFonts w:ascii="Times New Roman" w:hAnsi="Times New Roman"/>
          <w:sz w:val="24"/>
          <w:szCs w:val="24"/>
          <w:lang w:val="en-CA"/>
        </w:rPr>
        <w:t xml:space="preserve">possible </w:t>
      </w:r>
      <w:r w:rsidR="00D306F5">
        <w:rPr>
          <w:rFonts w:ascii="Times New Roman" w:hAnsi="Times New Roman"/>
          <w:sz w:val="24"/>
          <w:szCs w:val="24"/>
          <w:lang w:val="en-CA"/>
        </w:rPr>
        <w:t>pressures on the</w:t>
      </w:r>
      <w:r w:rsidR="003B27D2">
        <w:rPr>
          <w:rFonts w:ascii="Times New Roman" w:hAnsi="Times New Roman"/>
          <w:sz w:val="24"/>
          <w:szCs w:val="24"/>
          <w:lang w:val="en-CA"/>
        </w:rPr>
        <w:t xml:space="preserve"> principle of universality in the</w:t>
      </w:r>
      <w:r w:rsidR="00D306F5">
        <w:rPr>
          <w:rFonts w:ascii="Times New Roman" w:hAnsi="Times New Roman"/>
          <w:sz w:val="24"/>
          <w:szCs w:val="24"/>
          <w:lang w:val="en-CA"/>
        </w:rPr>
        <w:t xml:space="preserve"> Danish welfare state. The Danish welfare state has been chosen </w:t>
      </w:r>
      <w:r w:rsidR="00A76A03">
        <w:rPr>
          <w:rFonts w:ascii="Times New Roman" w:hAnsi="Times New Roman"/>
          <w:sz w:val="24"/>
          <w:szCs w:val="24"/>
          <w:lang w:val="en-CA"/>
        </w:rPr>
        <w:t xml:space="preserve">as a case for the analysis </w:t>
      </w:r>
      <w:r w:rsidR="00D306F5">
        <w:rPr>
          <w:rFonts w:ascii="Times New Roman" w:hAnsi="Times New Roman"/>
          <w:sz w:val="24"/>
          <w:szCs w:val="24"/>
          <w:lang w:val="en-CA"/>
        </w:rPr>
        <w:t xml:space="preserve">due to and given </w:t>
      </w:r>
      <w:r w:rsidR="00BA0004">
        <w:rPr>
          <w:rFonts w:ascii="Times New Roman" w:hAnsi="Times New Roman"/>
          <w:sz w:val="24"/>
          <w:szCs w:val="24"/>
          <w:lang w:val="en-CA"/>
        </w:rPr>
        <w:t>it’s</w:t>
      </w:r>
      <w:r w:rsidR="00D306F5">
        <w:rPr>
          <w:rFonts w:ascii="Times New Roman" w:hAnsi="Times New Roman"/>
          <w:sz w:val="24"/>
          <w:szCs w:val="24"/>
          <w:lang w:val="en-CA"/>
        </w:rPr>
        <w:t xml:space="preserve"> in principle universal approach, high degree of equality and financing by a collective approach </w:t>
      </w:r>
      <w:r w:rsidR="00D306F5" w:rsidRPr="00AF69E5">
        <w:rPr>
          <w:rFonts w:ascii="Times New Roman" w:eastAsia="Times New Roman" w:hAnsi="Times New Roman"/>
          <w:sz w:val="24"/>
          <w:szCs w:val="24"/>
          <w:lang w:val="en-US" w:eastAsia="de-DE"/>
        </w:rPr>
        <w:t>(</w:t>
      </w:r>
      <w:r w:rsidR="00A76A03">
        <w:rPr>
          <w:rFonts w:ascii="Times New Roman" w:eastAsia="Times New Roman" w:hAnsi="Times New Roman"/>
          <w:sz w:val="24"/>
          <w:szCs w:val="24"/>
          <w:lang w:val="en-US" w:eastAsia="de-DE"/>
        </w:rPr>
        <w:t>Kangas and Kvist</w:t>
      </w:r>
      <w:r w:rsidR="009725D3">
        <w:rPr>
          <w:rFonts w:ascii="Times New Roman" w:eastAsia="Times New Roman" w:hAnsi="Times New Roman"/>
          <w:sz w:val="24"/>
          <w:szCs w:val="24"/>
          <w:lang w:val="en-US" w:eastAsia="de-DE"/>
        </w:rPr>
        <w:t>, 2013</w:t>
      </w:r>
      <w:r w:rsidR="00D306F5">
        <w:rPr>
          <w:rFonts w:ascii="Times New Roman" w:eastAsia="Times New Roman" w:hAnsi="Times New Roman"/>
          <w:sz w:val="24"/>
          <w:szCs w:val="24"/>
          <w:lang w:val="en-US" w:eastAsia="de-DE"/>
        </w:rPr>
        <w:t>)</w:t>
      </w:r>
      <w:r w:rsidR="003B27D2">
        <w:rPr>
          <w:rFonts w:ascii="Times New Roman" w:eastAsia="Times New Roman" w:hAnsi="Times New Roman"/>
          <w:sz w:val="24"/>
          <w:szCs w:val="24"/>
          <w:lang w:val="en-US" w:eastAsia="de-DE"/>
        </w:rPr>
        <w:t>.</w:t>
      </w:r>
      <w:r w:rsidR="00944150">
        <w:rPr>
          <w:rFonts w:ascii="Times New Roman" w:eastAsia="Times New Roman" w:hAnsi="Times New Roman"/>
          <w:sz w:val="24"/>
          <w:szCs w:val="24"/>
          <w:lang w:val="en-US" w:eastAsia="de-DE"/>
        </w:rPr>
        <w:t xml:space="preserve"> It is thus a case-study based approach (Gerrring, 2004</w:t>
      </w:r>
      <w:r w:rsidR="00E30F0B">
        <w:rPr>
          <w:rFonts w:ascii="Times New Roman" w:eastAsia="Times New Roman" w:hAnsi="Times New Roman"/>
          <w:sz w:val="24"/>
          <w:szCs w:val="24"/>
          <w:lang w:val="en-US" w:eastAsia="de-DE"/>
        </w:rPr>
        <w:t>, Yin, 2013</w:t>
      </w:r>
      <w:r w:rsidR="00944150">
        <w:rPr>
          <w:rFonts w:ascii="Times New Roman" w:eastAsia="Times New Roman" w:hAnsi="Times New Roman"/>
          <w:sz w:val="24"/>
          <w:szCs w:val="24"/>
          <w:lang w:val="en-US" w:eastAsia="de-DE"/>
        </w:rPr>
        <w:t>) with the intention to understand the impact on a small, universal welfare state</w:t>
      </w:r>
      <w:r w:rsidR="00BD6DC4">
        <w:rPr>
          <w:rFonts w:ascii="Times New Roman" w:eastAsia="Times New Roman" w:hAnsi="Times New Roman"/>
          <w:sz w:val="24"/>
          <w:szCs w:val="24"/>
          <w:lang w:val="en-US" w:eastAsia="de-DE"/>
        </w:rPr>
        <w:t xml:space="preserve"> of EU-regulation and court decisions</w:t>
      </w:r>
      <w:r w:rsidR="00593E8F">
        <w:rPr>
          <w:rFonts w:ascii="Times New Roman" w:eastAsia="Times New Roman" w:hAnsi="Times New Roman"/>
          <w:sz w:val="24"/>
          <w:szCs w:val="24"/>
          <w:lang w:val="en-US" w:eastAsia="de-DE"/>
        </w:rPr>
        <w:t>. Further, Denmark</w:t>
      </w:r>
      <w:r w:rsidR="00944150">
        <w:rPr>
          <w:rFonts w:ascii="Times New Roman" w:eastAsia="Times New Roman" w:hAnsi="Times New Roman"/>
          <w:sz w:val="24"/>
          <w:szCs w:val="24"/>
          <w:lang w:val="en-US" w:eastAsia="de-DE"/>
        </w:rPr>
        <w:t xml:space="preserve"> is </w:t>
      </w:r>
      <w:r w:rsidR="00E30F0B">
        <w:rPr>
          <w:rFonts w:ascii="Times New Roman" w:eastAsia="Times New Roman" w:hAnsi="Times New Roman"/>
          <w:sz w:val="24"/>
          <w:szCs w:val="24"/>
          <w:lang w:val="en-US" w:eastAsia="de-DE"/>
        </w:rPr>
        <w:t xml:space="preserve">a </w:t>
      </w:r>
      <w:r w:rsidR="00944150">
        <w:rPr>
          <w:rFonts w:ascii="Times New Roman" w:eastAsia="Times New Roman" w:hAnsi="Times New Roman"/>
          <w:sz w:val="24"/>
          <w:szCs w:val="24"/>
          <w:lang w:val="en-US" w:eastAsia="de-DE"/>
        </w:rPr>
        <w:t xml:space="preserve">deviant case from </w:t>
      </w:r>
      <w:r w:rsidR="00E30F0B">
        <w:rPr>
          <w:rFonts w:ascii="Times New Roman" w:eastAsia="Times New Roman" w:hAnsi="Times New Roman"/>
          <w:sz w:val="24"/>
          <w:szCs w:val="24"/>
          <w:lang w:val="en-US" w:eastAsia="de-DE"/>
        </w:rPr>
        <w:t>other welfare states</w:t>
      </w:r>
      <w:r w:rsidR="00593E8F">
        <w:rPr>
          <w:rFonts w:ascii="Times New Roman" w:eastAsia="Times New Roman" w:hAnsi="Times New Roman"/>
          <w:sz w:val="24"/>
          <w:szCs w:val="24"/>
          <w:lang w:val="en-US" w:eastAsia="de-DE"/>
        </w:rPr>
        <w:t xml:space="preserve"> types</w:t>
      </w:r>
      <w:r w:rsidR="00E30F0B">
        <w:rPr>
          <w:rFonts w:ascii="Times New Roman" w:eastAsia="Times New Roman" w:hAnsi="Times New Roman"/>
          <w:sz w:val="24"/>
          <w:szCs w:val="24"/>
          <w:lang w:val="en-US" w:eastAsia="de-DE"/>
        </w:rPr>
        <w:t xml:space="preserve"> in </w:t>
      </w:r>
      <w:r w:rsidR="00593E8F">
        <w:rPr>
          <w:rFonts w:ascii="Times New Roman" w:eastAsia="Times New Roman" w:hAnsi="Times New Roman"/>
          <w:sz w:val="24"/>
          <w:szCs w:val="24"/>
          <w:lang w:val="en-US" w:eastAsia="de-DE"/>
        </w:rPr>
        <w:t xml:space="preserve">most of </w:t>
      </w:r>
      <w:r w:rsidR="00E30F0B">
        <w:rPr>
          <w:rFonts w:ascii="Times New Roman" w:eastAsia="Times New Roman" w:hAnsi="Times New Roman"/>
          <w:sz w:val="24"/>
          <w:szCs w:val="24"/>
          <w:lang w:val="en-US" w:eastAsia="de-DE"/>
        </w:rPr>
        <w:t>Europe in which universality is less prominent.</w:t>
      </w:r>
      <w:r w:rsidR="00F31393">
        <w:rPr>
          <w:rFonts w:ascii="Times New Roman" w:eastAsia="Times New Roman" w:hAnsi="Times New Roman"/>
          <w:sz w:val="24"/>
          <w:szCs w:val="24"/>
          <w:lang w:val="en-US" w:eastAsia="de-DE"/>
        </w:rPr>
        <w:t xml:space="preserve"> Universality here understood in the meaning of having rights to and equal access to benefits, financed out of general taxation and uniform and designed for all in a country (Anttonen, 2002).</w:t>
      </w:r>
    </w:p>
    <w:p w:rsidR="00582215" w:rsidRDefault="00974377" w:rsidP="00790EC0">
      <w:pPr>
        <w:autoSpaceDE w:val="0"/>
        <w:autoSpaceDN w:val="0"/>
        <w:adjustRightInd w:val="0"/>
        <w:spacing w:after="0" w:line="240" w:lineRule="auto"/>
        <w:rPr>
          <w:rFonts w:ascii="Times New Roman" w:hAnsi="Times New Roman"/>
          <w:sz w:val="24"/>
          <w:szCs w:val="24"/>
          <w:lang w:val="en-CA"/>
        </w:rPr>
      </w:pPr>
      <w:r>
        <w:rPr>
          <w:rFonts w:ascii="Times New Roman" w:hAnsi="Times New Roman"/>
          <w:sz w:val="24"/>
          <w:szCs w:val="24"/>
          <w:lang w:val="en-CA"/>
        </w:rPr>
        <w:t>The article</w:t>
      </w:r>
      <w:r w:rsidR="00593E8F">
        <w:rPr>
          <w:rFonts w:ascii="Times New Roman" w:hAnsi="Times New Roman"/>
          <w:sz w:val="24"/>
          <w:szCs w:val="24"/>
          <w:lang w:val="en-CA"/>
        </w:rPr>
        <w:t xml:space="preserve"> </w:t>
      </w:r>
      <w:r w:rsidR="00BA0004">
        <w:rPr>
          <w:rFonts w:ascii="Times New Roman" w:hAnsi="Times New Roman"/>
          <w:sz w:val="24"/>
          <w:szCs w:val="24"/>
          <w:lang w:val="en-CA"/>
        </w:rPr>
        <w:t xml:space="preserve">present changes in the Danish welfare state which has been argued to be necessary </w:t>
      </w:r>
      <w:r w:rsidR="00593E8F">
        <w:rPr>
          <w:rFonts w:ascii="Times New Roman" w:hAnsi="Times New Roman"/>
          <w:sz w:val="24"/>
          <w:szCs w:val="24"/>
          <w:lang w:val="en-CA"/>
        </w:rPr>
        <w:t xml:space="preserve">to implement </w:t>
      </w:r>
      <w:r w:rsidR="00BA0004">
        <w:rPr>
          <w:rFonts w:ascii="Times New Roman" w:hAnsi="Times New Roman"/>
          <w:sz w:val="24"/>
          <w:szCs w:val="24"/>
          <w:lang w:val="en-CA"/>
        </w:rPr>
        <w:t>due to the rul</w:t>
      </w:r>
      <w:r w:rsidR="00F31393">
        <w:rPr>
          <w:rFonts w:ascii="Times New Roman" w:hAnsi="Times New Roman"/>
          <w:sz w:val="24"/>
          <w:szCs w:val="24"/>
          <w:lang w:val="en-CA"/>
        </w:rPr>
        <w:t>es of free-movement, including</w:t>
      </w:r>
      <w:r w:rsidR="00BA0004">
        <w:rPr>
          <w:rFonts w:ascii="Times New Roman" w:hAnsi="Times New Roman"/>
          <w:sz w:val="24"/>
          <w:szCs w:val="24"/>
          <w:lang w:val="en-CA"/>
        </w:rPr>
        <w:t xml:space="preserve"> recent court case</w:t>
      </w:r>
      <w:r w:rsidR="00F31393">
        <w:rPr>
          <w:rFonts w:ascii="Times New Roman" w:hAnsi="Times New Roman"/>
          <w:sz w:val="24"/>
          <w:szCs w:val="24"/>
          <w:lang w:val="en-CA"/>
        </w:rPr>
        <w:t>s</w:t>
      </w:r>
      <w:r w:rsidR="003B27D2">
        <w:rPr>
          <w:rFonts w:ascii="Times New Roman" w:hAnsi="Times New Roman"/>
          <w:sz w:val="24"/>
          <w:szCs w:val="24"/>
          <w:lang w:val="en-CA"/>
        </w:rPr>
        <w:t xml:space="preserve"> and </w:t>
      </w:r>
      <w:r>
        <w:rPr>
          <w:rFonts w:ascii="Times New Roman" w:hAnsi="Times New Roman"/>
          <w:sz w:val="24"/>
          <w:szCs w:val="24"/>
          <w:lang w:val="en-CA"/>
        </w:rPr>
        <w:t>a commission</w:t>
      </w:r>
      <w:r w:rsidR="003B27D2">
        <w:rPr>
          <w:rFonts w:ascii="Times New Roman" w:hAnsi="Times New Roman"/>
          <w:sz w:val="24"/>
          <w:szCs w:val="24"/>
          <w:lang w:val="en-CA"/>
        </w:rPr>
        <w:t xml:space="preserve"> opinion on family benefits</w:t>
      </w:r>
      <w:r w:rsidR="00BA0004">
        <w:rPr>
          <w:rFonts w:ascii="Times New Roman" w:hAnsi="Times New Roman"/>
          <w:sz w:val="24"/>
          <w:szCs w:val="24"/>
          <w:lang w:val="en-CA"/>
        </w:rPr>
        <w:t>. This</w:t>
      </w:r>
      <w:r w:rsidR="0065748A">
        <w:rPr>
          <w:rFonts w:ascii="Times New Roman" w:hAnsi="Times New Roman"/>
          <w:sz w:val="24"/>
          <w:szCs w:val="24"/>
          <w:lang w:val="en-CA"/>
        </w:rPr>
        <w:t xml:space="preserve"> also includes</w:t>
      </w:r>
      <w:r w:rsidR="003B27D2">
        <w:rPr>
          <w:rFonts w:ascii="Times New Roman" w:hAnsi="Times New Roman"/>
          <w:sz w:val="24"/>
          <w:szCs w:val="24"/>
          <w:lang w:val="en-CA"/>
        </w:rPr>
        <w:t>, albeit more limited,</w:t>
      </w:r>
      <w:r w:rsidR="00BA0004">
        <w:rPr>
          <w:rFonts w:ascii="Times New Roman" w:hAnsi="Times New Roman"/>
          <w:sz w:val="24"/>
          <w:szCs w:val="24"/>
          <w:lang w:val="en-CA"/>
        </w:rPr>
        <w:t xml:space="preserve"> a discussion on </w:t>
      </w:r>
      <w:r w:rsidR="00A76A03">
        <w:rPr>
          <w:rFonts w:ascii="Times New Roman" w:hAnsi="Times New Roman"/>
          <w:sz w:val="24"/>
          <w:szCs w:val="24"/>
          <w:lang w:val="en-CA"/>
        </w:rPr>
        <w:t xml:space="preserve">other </w:t>
      </w:r>
      <w:r w:rsidR="0065748A">
        <w:rPr>
          <w:rFonts w:ascii="Times New Roman" w:hAnsi="Times New Roman"/>
          <w:sz w:val="24"/>
          <w:szCs w:val="24"/>
          <w:lang w:val="en-CA"/>
        </w:rPr>
        <w:t xml:space="preserve">welfare </w:t>
      </w:r>
      <w:r w:rsidR="00A76A03">
        <w:rPr>
          <w:rFonts w:ascii="Times New Roman" w:hAnsi="Times New Roman"/>
          <w:sz w:val="24"/>
          <w:szCs w:val="24"/>
          <w:lang w:val="en-CA"/>
        </w:rPr>
        <w:t xml:space="preserve">service </w:t>
      </w:r>
      <w:r w:rsidR="009B7B09">
        <w:rPr>
          <w:rFonts w:ascii="Times New Roman" w:hAnsi="Times New Roman"/>
          <w:sz w:val="24"/>
          <w:szCs w:val="24"/>
          <w:lang w:val="en-CA"/>
        </w:rPr>
        <w:t>areas</w:t>
      </w:r>
      <w:r w:rsidR="00BA0004">
        <w:rPr>
          <w:rFonts w:ascii="Times New Roman" w:hAnsi="Times New Roman"/>
          <w:sz w:val="24"/>
          <w:szCs w:val="24"/>
          <w:lang w:val="en-CA"/>
        </w:rPr>
        <w:t>.</w:t>
      </w:r>
      <w:r w:rsidR="00593E8F">
        <w:rPr>
          <w:rFonts w:ascii="Times New Roman" w:hAnsi="Times New Roman"/>
          <w:sz w:val="24"/>
          <w:szCs w:val="24"/>
          <w:lang w:val="en-CA"/>
        </w:rPr>
        <w:t xml:space="preserve"> This can be</w:t>
      </w:r>
      <w:r w:rsidR="0065748A">
        <w:rPr>
          <w:rFonts w:ascii="Times New Roman" w:hAnsi="Times New Roman"/>
          <w:sz w:val="24"/>
          <w:szCs w:val="24"/>
          <w:lang w:val="en-CA"/>
        </w:rPr>
        <w:t xml:space="preserve"> seen as having an</w:t>
      </w:r>
      <w:r w:rsidR="00BA0004">
        <w:rPr>
          <w:rFonts w:ascii="Times New Roman" w:hAnsi="Times New Roman"/>
          <w:sz w:val="24"/>
          <w:szCs w:val="24"/>
          <w:lang w:val="en-CA"/>
        </w:rPr>
        <w:t xml:space="preserve"> </w:t>
      </w:r>
      <w:r w:rsidR="00593E8F">
        <w:rPr>
          <w:rFonts w:ascii="Times New Roman" w:hAnsi="Times New Roman"/>
          <w:sz w:val="24"/>
          <w:szCs w:val="24"/>
          <w:lang w:val="en-CA"/>
        </w:rPr>
        <w:t xml:space="preserve">impact </w:t>
      </w:r>
      <w:r w:rsidR="00BD6DC4">
        <w:rPr>
          <w:rFonts w:ascii="Times New Roman" w:hAnsi="Times New Roman"/>
          <w:sz w:val="24"/>
          <w:szCs w:val="24"/>
          <w:lang w:val="en-CA"/>
        </w:rPr>
        <w:t>on national welfare states</w:t>
      </w:r>
      <w:r w:rsidR="00BA0004">
        <w:rPr>
          <w:rFonts w:ascii="Times New Roman" w:hAnsi="Times New Roman"/>
          <w:sz w:val="24"/>
          <w:szCs w:val="24"/>
          <w:lang w:val="en-CA"/>
        </w:rPr>
        <w:t xml:space="preserve"> </w:t>
      </w:r>
      <w:r w:rsidR="00593E8F">
        <w:rPr>
          <w:rFonts w:ascii="Times New Roman" w:hAnsi="Times New Roman"/>
          <w:sz w:val="24"/>
          <w:szCs w:val="24"/>
          <w:lang w:val="en-CA"/>
        </w:rPr>
        <w:t>with the possibility of</w:t>
      </w:r>
      <w:r w:rsidR="00BA0004">
        <w:rPr>
          <w:rFonts w:ascii="Times New Roman" w:hAnsi="Times New Roman"/>
          <w:sz w:val="24"/>
          <w:szCs w:val="24"/>
          <w:lang w:val="en-CA"/>
        </w:rPr>
        <w:t xml:space="preserve"> convergence at least in the </w:t>
      </w:r>
      <w:r w:rsidR="00593E8F">
        <w:rPr>
          <w:rFonts w:ascii="Times New Roman" w:hAnsi="Times New Roman"/>
          <w:sz w:val="24"/>
          <w:szCs w:val="24"/>
          <w:lang w:val="en-CA"/>
        </w:rPr>
        <w:t xml:space="preserve">way </w:t>
      </w:r>
      <w:r w:rsidR="00BA0004">
        <w:rPr>
          <w:rFonts w:ascii="Times New Roman" w:hAnsi="Times New Roman"/>
          <w:sz w:val="24"/>
          <w:szCs w:val="24"/>
          <w:lang w:val="en-CA"/>
        </w:rPr>
        <w:t xml:space="preserve">rights </w:t>
      </w:r>
      <w:r w:rsidR="00593E8F">
        <w:rPr>
          <w:rFonts w:ascii="Times New Roman" w:hAnsi="Times New Roman"/>
          <w:sz w:val="24"/>
          <w:szCs w:val="24"/>
          <w:lang w:val="en-CA"/>
        </w:rPr>
        <w:t xml:space="preserve">are </w:t>
      </w:r>
      <w:r w:rsidR="00BA0004">
        <w:rPr>
          <w:rFonts w:ascii="Times New Roman" w:hAnsi="Times New Roman"/>
          <w:sz w:val="24"/>
          <w:szCs w:val="24"/>
          <w:lang w:val="en-CA"/>
        </w:rPr>
        <w:t xml:space="preserve">accrued to </w:t>
      </w:r>
      <w:r w:rsidR="0065748A">
        <w:rPr>
          <w:rFonts w:ascii="Times New Roman" w:hAnsi="Times New Roman"/>
          <w:sz w:val="24"/>
          <w:szCs w:val="24"/>
          <w:lang w:val="en-CA"/>
        </w:rPr>
        <w:t>welfare benefits</w:t>
      </w:r>
      <w:r w:rsidR="00BA0004">
        <w:rPr>
          <w:rFonts w:ascii="Times New Roman" w:hAnsi="Times New Roman"/>
          <w:sz w:val="24"/>
          <w:szCs w:val="24"/>
          <w:lang w:val="en-CA"/>
        </w:rPr>
        <w:t>.</w:t>
      </w:r>
      <w:r w:rsidR="00736C96">
        <w:rPr>
          <w:rFonts w:ascii="Times New Roman" w:hAnsi="Times New Roman"/>
          <w:sz w:val="24"/>
          <w:szCs w:val="24"/>
          <w:lang w:val="en-CA"/>
        </w:rPr>
        <w:t xml:space="preserve"> However, whether this is gradual co</w:t>
      </w:r>
      <w:r w:rsidR="00A76A03">
        <w:rPr>
          <w:rFonts w:ascii="Times New Roman" w:hAnsi="Times New Roman"/>
          <w:sz w:val="24"/>
          <w:szCs w:val="24"/>
          <w:lang w:val="en-CA"/>
        </w:rPr>
        <w:t>nvergence of cross-convergence (</w:t>
      </w:r>
      <w:r w:rsidR="00736C96">
        <w:rPr>
          <w:rFonts w:ascii="Times New Roman" w:hAnsi="Times New Roman"/>
          <w:sz w:val="24"/>
          <w:szCs w:val="24"/>
          <w:lang w:val="en-CA"/>
        </w:rPr>
        <w:t xml:space="preserve">Aurich, 2011) </w:t>
      </w:r>
      <w:r w:rsidR="0065748A">
        <w:rPr>
          <w:rFonts w:ascii="Times New Roman" w:hAnsi="Times New Roman"/>
          <w:sz w:val="24"/>
          <w:szCs w:val="24"/>
          <w:lang w:val="en-CA"/>
        </w:rPr>
        <w:t xml:space="preserve">or other types of convergence </w:t>
      </w:r>
      <w:r w:rsidR="00736C96">
        <w:rPr>
          <w:rFonts w:ascii="Times New Roman" w:hAnsi="Times New Roman"/>
          <w:sz w:val="24"/>
          <w:szCs w:val="24"/>
          <w:lang w:val="en-CA"/>
        </w:rPr>
        <w:t>is not the focus here.</w:t>
      </w:r>
      <w:r w:rsidR="002826AB">
        <w:rPr>
          <w:rFonts w:ascii="Times New Roman" w:hAnsi="Times New Roman"/>
          <w:sz w:val="24"/>
          <w:szCs w:val="24"/>
          <w:lang w:val="en-CA"/>
        </w:rPr>
        <w:t xml:space="preserve"> Finally, if the pressure towards convergence is strong this can open the historical discussion on social dumping in the EU </w:t>
      </w:r>
      <w:r w:rsidR="00582215">
        <w:rPr>
          <w:rFonts w:ascii="Times New Roman" w:hAnsi="Times New Roman"/>
          <w:sz w:val="24"/>
          <w:szCs w:val="24"/>
          <w:lang w:val="en-CA"/>
        </w:rPr>
        <w:t>(Alber and Standing, 2000). Just around 10 years ago it was concluded that: “</w:t>
      </w:r>
      <w:r w:rsidR="00582215" w:rsidRPr="00582215">
        <w:rPr>
          <w:rFonts w:ascii="TimesNewRomanPSMT" w:hAnsi="TimesNewRomanPSMT" w:cs="TimesNewRomanPSMT"/>
          <w:sz w:val="24"/>
          <w:szCs w:val="24"/>
          <w:lang w:val="en-US" w:eastAsia="cs-CZ"/>
        </w:rPr>
        <w:t>It is fair to conclude that these studies by and large do not provide</w:t>
      </w:r>
      <w:r w:rsidR="00582215">
        <w:rPr>
          <w:rFonts w:ascii="TimesNewRomanPSMT" w:hAnsi="TimesNewRomanPSMT" w:cs="TimesNewRomanPSMT"/>
          <w:sz w:val="24"/>
          <w:szCs w:val="24"/>
          <w:lang w:val="en-US" w:eastAsia="cs-CZ"/>
        </w:rPr>
        <w:t xml:space="preserve"> </w:t>
      </w:r>
      <w:r w:rsidR="00582215" w:rsidRPr="00582215">
        <w:rPr>
          <w:rFonts w:ascii="TimesNewRomanPSMT" w:hAnsi="TimesNewRomanPSMT" w:cs="TimesNewRomanPSMT"/>
          <w:sz w:val="24"/>
          <w:szCs w:val="24"/>
          <w:lang w:val="en-US" w:eastAsia="cs-CZ"/>
        </w:rPr>
        <w:t>empirical support for expectations of a general "race to the bottom," but emphasize the</w:t>
      </w:r>
      <w:r w:rsidR="00582215">
        <w:rPr>
          <w:rFonts w:ascii="TimesNewRomanPSMT" w:hAnsi="TimesNewRomanPSMT" w:cs="TimesNewRomanPSMT"/>
          <w:sz w:val="24"/>
          <w:szCs w:val="24"/>
          <w:lang w:val="en-US" w:eastAsia="cs-CZ"/>
        </w:rPr>
        <w:t xml:space="preserve"> </w:t>
      </w:r>
      <w:r w:rsidR="00582215" w:rsidRPr="00582215">
        <w:rPr>
          <w:rFonts w:ascii="TimesNewRomanPSMT" w:hAnsi="TimesNewRomanPSMT" w:cs="TimesNewRomanPSMT"/>
          <w:sz w:val="24"/>
          <w:szCs w:val="24"/>
          <w:lang w:val="en-US" w:eastAsia="cs-CZ"/>
        </w:rPr>
        <w:t>path-dependent resistance of welfare-state regimes to the downward pressures of</w:t>
      </w:r>
      <w:r w:rsidR="00582215">
        <w:rPr>
          <w:rFonts w:ascii="TimesNewRomanPSMT" w:hAnsi="TimesNewRomanPSMT" w:cs="TimesNewRomanPSMT"/>
          <w:sz w:val="24"/>
          <w:szCs w:val="24"/>
          <w:lang w:val="en-US" w:eastAsia="cs-CZ"/>
        </w:rPr>
        <w:t xml:space="preserve"> </w:t>
      </w:r>
      <w:r w:rsidR="00582215" w:rsidRPr="00582215">
        <w:rPr>
          <w:rFonts w:ascii="TimesNewRomanPSMT" w:hAnsi="TimesNewRomanPSMT" w:cs="TimesNewRomanPSMT"/>
          <w:sz w:val="24"/>
          <w:szCs w:val="24"/>
          <w:lang w:val="en-US" w:eastAsia="cs-CZ"/>
        </w:rPr>
        <w:t>economic competition</w:t>
      </w:r>
      <w:r w:rsidR="00582215">
        <w:rPr>
          <w:rFonts w:ascii="TimesNewRomanPSMT" w:hAnsi="TimesNewRomanPSMT" w:cs="TimesNewRomanPSMT"/>
          <w:sz w:val="24"/>
          <w:szCs w:val="24"/>
          <w:lang w:val="en-US" w:eastAsia="cs-CZ"/>
        </w:rPr>
        <w:t xml:space="preserve">” </w:t>
      </w:r>
      <w:r w:rsidR="002826AB">
        <w:rPr>
          <w:rFonts w:ascii="Times New Roman" w:hAnsi="Times New Roman"/>
          <w:sz w:val="24"/>
          <w:szCs w:val="24"/>
          <w:lang w:val="en-CA"/>
        </w:rPr>
        <w:t>(</w:t>
      </w:r>
      <w:r w:rsidR="00582215" w:rsidRPr="00582215">
        <w:rPr>
          <w:rFonts w:ascii="Times New Roman" w:hAnsi="Times New Roman"/>
          <w:sz w:val="24"/>
          <w:szCs w:val="24"/>
          <w:lang w:val="en-US"/>
        </w:rPr>
        <w:t xml:space="preserve">Scharpf, </w:t>
      </w:r>
      <w:r w:rsidR="00582215">
        <w:rPr>
          <w:rFonts w:ascii="Times New Roman" w:hAnsi="Times New Roman"/>
          <w:sz w:val="24"/>
          <w:szCs w:val="24"/>
          <w:lang w:val="en-US"/>
        </w:rPr>
        <w:t>2002, p. 10)</w:t>
      </w:r>
      <w:r w:rsidR="00582215">
        <w:rPr>
          <w:rFonts w:ascii="Times New Roman" w:hAnsi="Times New Roman"/>
          <w:sz w:val="24"/>
          <w:szCs w:val="24"/>
          <w:lang w:val="en-CA"/>
        </w:rPr>
        <w:t>. A question is whether the new developments open fo</w:t>
      </w:r>
      <w:r w:rsidR="009B7B09">
        <w:rPr>
          <w:rFonts w:ascii="Times New Roman" w:hAnsi="Times New Roman"/>
          <w:sz w:val="24"/>
          <w:szCs w:val="24"/>
          <w:lang w:val="en-CA"/>
        </w:rPr>
        <w:t>r another interpretation</w:t>
      </w:r>
      <w:r w:rsidR="0065748A">
        <w:rPr>
          <w:rFonts w:ascii="Times New Roman" w:hAnsi="Times New Roman"/>
          <w:sz w:val="24"/>
          <w:szCs w:val="24"/>
          <w:lang w:val="en-CA"/>
        </w:rPr>
        <w:t xml:space="preserve"> and expectation for future welfare state development</w:t>
      </w:r>
      <w:r w:rsidR="00582215">
        <w:rPr>
          <w:rFonts w:ascii="Times New Roman" w:hAnsi="Times New Roman"/>
          <w:sz w:val="24"/>
          <w:szCs w:val="24"/>
          <w:lang w:val="en-CA"/>
        </w:rPr>
        <w:t>.</w:t>
      </w:r>
    </w:p>
    <w:p w:rsidR="00792ACC" w:rsidRPr="00FB4DD8" w:rsidRDefault="00792ACC" w:rsidP="00790EC0">
      <w:pPr>
        <w:spacing w:line="240" w:lineRule="auto"/>
        <w:jc w:val="both"/>
        <w:rPr>
          <w:rFonts w:ascii="Times New Roman" w:hAnsi="Times New Roman"/>
          <w:sz w:val="24"/>
          <w:szCs w:val="24"/>
          <w:lang w:val="en-CA"/>
        </w:rPr>
      </w:pPr>
    </w:p>
    <w:p w:rsidR="00915A58" w:rsidRPr="00FB4DD8" w:rsidRDefault="00915A58" w:rsidP="00790EC0">
      <w:pPr>
        <w:pStyle w:val="Overskrift3"/>
        <w:spacing w:line="240" w:lineRule="auto"/>
        <w:rPr>
          <w:lang w:val="en-CA"/>
        </w:rPr>
      </w:pPr>
      <w:r w:rsidRPr="00FB4DD8">
        <w:rPr>
          <w:lang w:val="en-CA"/>
        </w:rPr>
        <w:t xml:space="preserve">2 </w:t>
      </w:r>
      <w:r w:rsidR="00374556" w:rsidRPr="00FB4DD8">
        <w:rPr>
          <w:lang w:val="en-CA"/>
        </w:rPr>
        <w:t>Europe</w:t>
      </w:r>
      <w:r w:rsidR="00374556" w:rsidRPr="00FB4DD8">
        <w:rPr>
          <w:rStyle w:val="Overskrift3Tegn"/>
          <w:lang w:val="en-CA"/>
        </w:rPr>
        <w:t>a</w:t>
      </w:r>
      <w:r w:rsidR="00374556" w:rsidRPr="00FB4DD8">
        <w:rPr>
          <w:lang w:val="en-CA"/>
        </w:rPr>
        <w:t>nization</w:t>
      </w:r>
    </w:p>
    <w:p w:rsidR="00915A58" w:rsidRPr="00FB4DD8" w:rsidRDefault="00915A58" w:rsidP="00790EC0">
      <w:pPr>
        <w:spacing w:line="240" w:lineRule="auto"/>
        <w:rPr>
          <w:lang w:val="en-CA"/>
        </w:rPr>
      </w:pPr>
    </w:p>
    <w:p w:rsidR="00915A58" w:rsidRPr="00FB4DD8" w:rsidRDefault="002826AB" w:rsidP="00790EC0">
      <w:pPr>
        <w:spacing w:line="240" w:lineRule="auto"/>
        <w:jc w:val="both"/>
        <w:rPr>
          <w:rFonts w:ascii="Times New Roman" w:hAnsi="Times New Roman"/>
          <w:sz w:val="24"/>
          <w:szCs w:val="24"/>
          <w:lang w:val="en-CA"/>
        </w:rPr>
      </w:pPr>
      <w:r>
        <w:rPr>
          <w:rFonts w:ascii="Times New Roman" w:hAnsi="Times New Roman"/>
          <w:sz w:val="24"/>
          <w:szCs w:val="24"/>
          <w:lang w:val="en-CA"/>
        </w:rPr>
        <w:t>A central aspect</w:t>
      </w:r>
      <w:r w:rsidR="00915A58" w:rsidRPr="00FB4DD8">
        <w:rPr>
          <w:rFonts w:ascii="Times New Roman" w:hAnsi="Times New Roman"/>
          <w:sz w:val="24"/>
          <w:szCs w:val="24"/>
          <w:lang w:val="en-CA"/>
        </w:rPr>
        <w:t xml:space="preserve"> relates to what </w:t>
      </w:r>
      <w:r w:rsidR="00915A58">
        <w:rPr>
          <w:rFonts w:ascii="Times New Roman" w:hAnsi="Times New Roman"/>
          <w:sz w:val="24"/>
          <w:szCs w:val="24"/>
          <w:lang w:val="en-CA"/>
        </w:rPr>
        <w:t xml:space="preserve">can </w:t>
      </w:r>
      <w:r w:rsidR="00915A58" w:rsidRPr="00FB4DD8">
        <w:rPr>
          <w:rFonts w:ascii="Times New Roman" w:hAnsi="Times New Roman"/>
          <w:sz w:val="24"/>
          <w:szCs w:val="24"/>
          <w:lang w:val="en-CA"/>
        </w:rPr>
        <w:t xml:space="preserve">be understood by the impact </w:t>
      </w:r>
      <w:r w:rsidR="00915A58">
        <w:rPr>
          <w:rFonts w:ascii="Times New Roman" w:hAnsi="Times New Roman"/>
          <w:sz w:val="24"/>
          <w:szCs w:val="24"/>
          <w:lang w:val="en-CA"/>
        </w:rPr>
        <w:t>of</w:t>
      </w:r>
      <w:r w:rsidR="00915A58" w:rsidRPr="00FB4DD8">
        <w:rPr>
          <w:rFonts w:ascii="Times New Roman" w:hAnsi="Times New Roman"/>
          <w:sz w:val="24"/>
          <w:szCs w:val="24"/>
          <w:lang w:val="en-CA"/>
        </w:rPr>
        <w:t xml:space="preserve"> the EU</w:t>
      </w:r>
      <w:r w:rsidR="00593E8F">
        <w:rPr>
          <w:rFonts w:ascii="Times New Roman" w:hAnsi="Times New Roman"/>
          <w:sz w:val="24"/>
          <w:szCs w:val="24"/>
          <w:lang w:val="en-CA"/>
        </w:rPr>
        <w:t xml:space="preserve"> on national welfare state policies</w:t>
      </w:r>
      <w:r w:rsidR="00915A58" w:rsidRPr="00FB4DD8">
        <w:rPr>
          <w:rFonts w:ascii="Times New Roman" w:hAnsi="Times New Roman"/>
          <w:sz w:val="24"/>
          <w:szCs w:val="24"/>
          <w:lang w:val="en-CA"/>
        </w:rPr>
        <w:t xml:space="preserve">. The traditional understanding </w:t>
      </w:r>
      <w:r w:rsidR="00915A58">
        <w:rPr>
          <w:rFonts w:ascii="Times New Roman" w:hAnsi="Times New Roman"/>
          <w:sz w:val="24"/>
          <w:szCs w:val="24"/>
          <w:lang w:val="en-CA"/>
        </w:rPr>
        <w:t>of</w:t>
      </w:r>
      <w:r w:rsidR="00915A58" w:rsidRPr="00FB4DD8">
        <w:rPr>
          <w:rFonts w:ascii="Times New Roman" w:hAnsi="Times New Roman"/>
          <w:sz w:val="24"/>
          <w:szCs w:val="24"/>
          <w:lang w:val="en-CA"/>
        </w:rPr>
        <w:t xml:space="preserve"> the study of the EU and </w:t>
      </w:r>
      <w:r w:rsidR="00915A58">
        <w:rPr>
          <w:rFonts w:ascii="Times New Roman" w:hAnsi="Times New Roman"/>
          <w:sz w:val="24"/>
          <w:szCs w:val="24"/>
          <w:lang w:val="en-CA"/>
        </w:rPr>
        <w:t>its</w:t>
      </w:r>
      <w:r w:rsidR="00915A58" w:rsidRPr="00FB4DD8">
        <w:rPr>
          <w:rFonts w:ascii="Times New Roman" w:hAnsi="Times New Roman"/>
          <w:sz w:val="24"/>
          <w:szCs w:val="24"/>
          <w:lang w:val="en-CA"/>
        </w:rPr>
        <w:t xml:space="preserve"> impact has </w:t>
      </w:r>
      <w:r w:rsidR="00915A58" w:rsidRPr="00FB4DD8">
        <w:rPr>
          <w:rFonts w:ascii="Times New Roman" w:hAnsi="Times New Roman"/>
          <w:sz w:val="24"/>
          <w:szCs w:val="24"/>
          <w:lang w:val="en-CA"/>
        </w:rPr>
        <w:lastRenderedPageBreak/>
        <w:t>been revolving around neo-functionalism, neo-federalism, neo-realism, liberal inter</w:t>
      </w:r>
      <w:r w:rsidR="00915A58">
        <w:rPr>
          <w:rFonts w:ascii="Times New Roman" w:hAnsi="Times New Roman"/>
          <w:sz w:val="24"/>
          <w:szCs w:val="24"/>
          <w:lang w:val="en-CA"/>
        </w:rPr>
        <w:t>-</w:t>
      </w:r>
      <w:r w:rsidR="00915A58" w:rsidRPr="00FB4DD8">
        <w:rPr>
          <w:rFonts w:ascii="Times New Roman" w:hAnsi="Times New Roman"/>
          <w:sz w:val="24"/>
          <w:szCs w:val="24"/>
          <w:lang w:val="en-CA"/>
        </w:rPr>
        <w:t>governmentalism, governance or fusion (Wessels, in Wessels and Monar</w:t>
      </w:r>
      <w:r w:rsidR="00915A58">
        <w:rPr>
          <w:rFonts w:ascii="Times New Roman" w:hAnsi="Times New Roman"/>
          <w:sz w:val="24"/>
          <w:szCs w:val="24"/>
          <w:lang w:val="en-CA"/>
        </w:rPr>
        <w:t xml:space="preserve"> </w:t>
      </w:r>
      <w:r w:rsidR="00915A58" w:rsidRPr="00FB4DD8">
        <w:rPr>
          <w:rFonts w:ascii="Times New Roman" w:hAnsi="Times New Roman"/>
          <w:sz w:val="24"/>
          <w:szCs w:val="24"/>
          <w:lang w:val="en-CA"/>
        </w:rPr>
        <w:t>(ed.), 2001).  The EU ha</w:t>
      </w:r>
      <w:r w:rsidR="00915A58">
        <w:rPr>
          <w:rFonts w:ascii="Times New Roman" w:hAnsi="Times New Roman"/>
          <w:sz w:val="24"/>
          <w:szCs w:val="24"/>
          <w:lang w:val="en-CA"/>
        </w:rPr>
        <w:t>s</w:t>
      </w:r>
      <w:r w:rsidR="00915A58" w:rsidRPr="00FB4DD8">
        <w:rPr>
          <w:rFonts w:ascii="Times New Roman" w:hAnsi="Times New Roman"/>
          <w:sz w:val="24"/>
          <w:szCs w:val="24"/>
          <w:lang w:val="en-CA"/>
        </w:rPr>
        <w:t xml:space="preserve"> </w:t>
      </w:r>
      <w:r w:rsidR="00BA0004">
        <w:rPr>
          <w:rFonts w:ascii="Times New Roman" w:hAnsi="Times New Roman"/>
          <w:sz w:val="24"/>
          <w:szCs w:val="24"/>
          <w:lang w:val="en-CA"/>
        </w:rPr>
        <w:t>directive</w:t>
      </w:r>
      <w:r w:rsidR="00593E8F">
        <w:rPr>
          <w:rFonts w:ascii="Times New Roman" w:hAnsi="Times New Roman"/>
          <w:sz w:val="24"/>
          <w:szCs w:val="24"/>
          <w:lang w:val="en-CA"/>
        </w:rPr>
        <w:t>s</w:t>
      </w:r>
      <w:r w:rsidR="00BA0004">
        <w:rPr>
          <w:rFonts w:ascii="Times New Roman" w:hAnsi="Times New Roman"/>
          <w:sz w:val="24"/>
          <w:szCs w:val="24"/>
          <w:lang w:val="en-CA"/>
        </w:rPr>
        <w:t xml:space="preserve"> and </w:t>
      </w:r>
      <w:r w:rsidR="00915A58" w:rsidRPr="00FB4DD8">
        <w:rPr>
          <w:rFonts w:ascii="Times New Roman" w:hAnsi="Times New Roman"/>
          <w:sz w:val="24"/>
          <w:szCs w:val="24"/>
          <w:lang w:val="en-CA"/>
        </w:rPr>
        <w:t>recommendations</w:t>
      </w:r>
      <w:r w:rsidR="00915A58">
        <w:rPr>
          <w:rFonts w:ascii="Times New Roman" w:hAnsi="Times New Roman"/>
          <w:sz w:val="24"/>
          <w:szCs w:val="24"/>
          <w:lang w:val="en-CA"/>
        </w:rPr>
        <w:t xml:space="preserve"> as</w:t>
      </w:r>
      <w:r w:rsidR="00915A58" w:rsidRPr="00402E50">
        <w:rPr>
          <w:rFonts w:ascii="Times New Roman" w:hAnsi="Times New Roman"/>
          <w:sz w:val="24"/>
          <w:szCs w:val="24"/>
          <w:lang w:val="en-CA"/>
        </w:rPr>
        <w:t xml:space="preserve"> </w:t>
      </w:r>
      <w:r w:rsidR="00BA0004">
        <w:rPr>
          <w:rFonts w:ascii="Times New Roman" w:hAnsi="Times New Roman"/>
          <w:sz w:val="24"/>
          <w:szCs w:val="24"/>
          <w:lang w:val="en-CA"/>
        </w:rPr>
        <w:t xml:space="preserve">direct </w:t>
      </w:r>
      <w:r w:rsidR="00915A58" w:rsidRPr="00FB4DD8">
        <w:rPr>
          <w:rFonts w:ascii="Times New Roman" w:hAnsi="Times New Roman"/>
          <w:sz w:val="24"/>
          <w:szCs w:val="24"/>
          <w:lang w:val="en-CA"/>
        </w:rPr>
        <w:t>instrument</w:t>
      </w:r>
      <w:r w:rsidR="00BA0004">
        <w:rPr>
          <w:rFonts w:ascii="Times New Roman" w:hAnsi="Times New Roman"/>
          <w:sz w:val="24"/>
          <w:szCs w:val="24"/>
          <w:lang w:val="en-CA"/>
        </w:rPr>
        <w:t>s</w:t>
      </w:r>
      <w:r w:rsidR="00915A58" w:rsidRPr="00FB4DD8">
        <w:rPr>
          <w:rFonts w:ascii="Times New Roman" w:hAnsi="Times New Roman"/>
          <w:sz w:val="24"/>
          <w:szCs w:val="24"/>
          <w:lang w:val="en-CA"/>
        </w:rPr>
        <w:t xml:space="preserve">, but also </w:t>
      </w:r>
      <w:r w:rsidR="00915A58">
        <w:rPr>
          <w:rFonts w:ascii="Times New Roman" w:hAnsi="Times New Roman"/>
          <w:sz w:val="24"/>
          <w:szCs w:val="24"/>
          <w:lang w:val="en-CA"/>
        </w:rPr>
        <w:t xml:space="preserve">plays </w:t>
      </w:r>
      <w:r w:rsidR="00915A58" w:rsidRPr="00FB4DD8">
        <w:rPr>
          <w:rFonts w:ascii="Times New Roman" w:hAnsi="Times New Roman"/>
          <w:sz w:val="24"/>
          <w:szCs w:val="24"/>
          <w:lang w:val="en-CA"/>
        </w:rPr>
        <w:t>the possible role of agenda-setter. The ability to act as agenda</w:t>
      </w:r>
      <w:r w:rsidR="00915A58">
        <w:rPr>
          <w:rFonts w:ascii="Times New Roman" w:hAnsi="Times New Roman"/>
          <w:sz w:val="24"/>
          <w:szCs w:val="24"/>
          <w:lang w:val="en-CA"/>
        </w:rPr>
        <w:t>-</w:t>
      </w:r>
      <w:r w:rsidR="00915A58" w:rsidRPr="00FB4DD8">
        <w:rPr>
          <w:rFonts w:ascii="Times New Roman" w:hAnsi="Times New Roman"/>
          <w:sz w:val="24"/>
          <w:szCs w:val="24"/>
          <w:lang w:val="en-CA"/>
        </w:rPr>
        <w:t xml:space="preserve">setter can influence </w:t>
      </w:r>
      <w:r w:rsidR="00915A58">
        <w:rPr>
          <w:rFonts w:ascii="Times New Roman" w:hAnsi="Times New Roman"/>
          <w:sz w:val="24"/>
          <w:szCs w:val="24"/>
          <w:lang w:val="en-CA"/>
        </w:rPr>
        <w:t xml:space="preserve">the </w:t>
      </w:r>
      <w:r w:rsidR="00915A58" w:rsidRPr="00FB4DD8">
        <w:rPr>
          <w:rFonts w:ascii="Times New Roman" w:hAnsi="Times New Roman"/>
          <w:sz w:val="24"/>
          <w:szCs w:val="24"/>
          <w:lang w:val="en-CA"/>
        </w:rPr>
        <w:t xml:space="preserve">national welfare states ability and choice of how to deliver social services in modern welfare states. </w:t>
      </w:r>
      <w:r w:rsidR="00BA0004">
        <w:rPr>
          <w:rFonts w:ascii="Times New Roman" w:hAnsi="Times New Roman"/>
          <w:sz w:val="24"/>
          <w:szCs w:val="24"/>
          <w:lang w:val="en-CA"/>
        </w:rPr>
        <w:t xml:space="preserve">Furthermore, the European court of Justice has acted and has had a role influencing the development of </w:t>
      </w:r>
      <w:r w:rsidR="00764BA0">
        <w:rPr>
          <w:rFonts w:ascii="Times New Roman" w:hAnsi="Times New Roman"/>
          <w:sz w:val="24"/>
          <w:szCs w:val="24"/>
          <w:lang w:val="en-CA"/>
        </w:rPr>
        <w:t xml:space="preserve">national </w:t>
      </w:r>
      <w:r w:rsidR="00BA0004">
        <w:rPr>
          <w:rFonts w:ascii="Times New Roman" w:hAnsi="Times New Roman"/>
          <w:sz w:val="24"/>
          <w:szCs w:val="24"/>
          <w:lang w:val="en-CA"/>
        </w:rPr>
        <w:t>welfare states (Martinsen, 2012)</w:t>
      </w:r>
      <w:r w:rsidR="00A76A03">
        <w:rPr>
          <w:rFonts w:ascii="Times New Roman" w:hAnsi="Times New Roman"/>
          <w:sz w:val="24"/>
          <w:szCs w:val="24"/>
          <w:lang w:val="en-CA"/>
        </w:rPr>
        <w:t>.</w:t>
      </w:r>
      <w:r w:rsidR="003B27D2">
        <w:rPr>
          <w:rFonts w:ascii="Times New Roman" w:hAnsi="Times New Roman"/>
          <w:sz w:val="24"/>
          <w:szCs w:val="24"/>
          <w:lang w:val="en-CA"/>
        </w:rPr>
        <w:t xml:space="preserve"> Viewpoints of the commission also influence nation states, especially when they are arguing that they will open a case</w:t>
      </w:r>
      <w:r w:rsidR="00593E8F">
        <w:rPr>
          <w:rFonts w:ascii="Times New Roman" w:hAnsi="Times New Roman"/>
          <w:sz w:val="24"/>
          <w:szCs w:val="24"/>
          <w:lang w:val="en-CA"/>
        </w:rPr>
        <w:t xml:space="preserve"> against a country, cf. also later</w:t>
      </w:r>
      <w:r w:rsidR="003B27D2">
        <w:rPr>
          <w:rFonts w:ascii="Times New Roman" w:hAnsi="Times New Roman"/>
          <w:sz w:val="24"/>
          <w:szCs w:val="24"/>
          <w:lang w:val="en-CA"/>
        </w:rPr>
        <w:t>.</w:t>
      </w:r>
      <w:r w:rsidR="0065748A">
        <w:rPr>
          <w:rFonts w:ascii="Times New Roman" w:hAnsi="Times New Roman"/>
          <w:sz w:val="24"/>
          <w:szCs w:val="24"/>
          <w:lang w:val="en-CA"/>
        </w:rPr>
        <w:t xml:space="preserve"> This also in the light of that economic policies seems to have had the strongest impact on European integration (Barbier and Colomb, 2012).</w:t>
      </w:r>
    </w:p>
    <w:p w:rsidR="00915A58" w:rsidRPr="00FB4DD8" w:rsidRDefault="00BA0004" w:rsidP="00790EC0">
      <w:pPr>
        <w:spacing w:line="240" w:lineRule="auto"/>
        <w:jc w:val="both"/>
        <w:rPr>
          <w:rFonts w:ascii="Times New Roman" w:hAnsi="Times New Roman"/>
          <w:sz w:val="24"/>
          <w:szCs w:val="24"/>
          <w:lang w:val="en-CA"/>
        </w:rPr>
      </w:pPr>
      <w:r>
        <w:rPr>
          <w:rFonts w:ascii="Times New Roman" w:hAnsi="Times New Roman"/>
          <w:sz w:val="24"/>
          <w:szCs w:val="24"/>
          <w:lang w:val="en-CA"/>
        </w:rPr>
        <w:t>A</w:t>
      </w:r>
      <w:r w:rsidR="00915A58" w:rsidRPr="00FB4DD8">
        <w:rPr>
          <w:rFonts w:ascii="Times New Roman" w:hAnsi="Times New Roman"/>
          <w:sz w:val="24"/>
          <w:szCs w:val="24"/>
          <w:lang w:val="en-CA"/>
        </w:rPr>
        <w:t>nalysis</w:t>
      </w:r>
      <w:r>
        <w:rPr>
          <w:rFonts w:ascii="Times New Roman" w:hAnsi="Times New Roman"/>
          <w:sz w:val="24"/>
          <w:szCs w:val="24"/>
          <w:lang w:val="en-CA"/>
        </w:rPr>
        <w:t xml:space="preserve"> of European integration and understanding </w:t>
      </w:r>
      <w:r w:rsidR="00593E8F">
        <w:rPr>
          <w:rFonts w:ascii="Times New Roman" w:hAnsi="Times New Roman"/>
          <w:sz w:val="24"/>
          <w:szCs w:val="24"/>
          <w:lang w:val="en-CA"/>
        </w:rPr>
        <w:t xml:space="preserve">of </w:t>
      </w:r>
      <w:r>
        <w:rPr>
          <w:rFonts w:ascii="Times New Roman" w:hAnsi="Times New Roman"/>
          <w:sz w:val="24"/>
          <w:szCs w:val="24"/>
          <w:lang w:val="en-CA"/>
        </w:rPr>
        <w:t>the mechanism is not easy given</w:t>
      </w:r>
      <w:r w:rsidR="00915A58" w:rsidRPr="00FB4DD8">
        <w:rPr>
          <w:rFonts w:ascii="Times New Roman" w:hAnsi="Times New Roman"/>
          <w:sz w:val="24"/>
          <w:szCs w:val="24"/>
          <w:lang w:val="en-CA"/>
        </w:rPr>
        <w:t xml:space="preserve"> that </w:t>
      </w:r>
      <w:r w:rsidR="00374556" w:rsidRPr="00FB4DD8">
        <w:rPr>
          <w:rFonts w:ascii="Times New Roman" w:hAnsi="Times New Roman"/>
          <w:sz w:val="24"/>
          <w:szCs w:val="24"/>
          <w:lang w:val="en-CA"/>
        </w:rPr>
        <w:t>Europeani</w:t>
      </w:r>
      <w:r w:rsidR="00374556">
        <w:rPr>
          <w:rFonts w:ascii="Times New Roman" w:hAnsi="Times New Roman"/>
          <w:sz w:val="24"/>
          <w:szCs w:val="24"/>
          <w:lang w:val="en-CA"/>
        </w:rPr>
        <w:t>z</w:t>
      </w:r>
      <w:r w:rsidR="00374556" w:rsidRPr="00FB4DD8">
        <w:rPr>
          <w:rFonts w:ascii="Times New Roman" w:hAnsi="Times New Roman"/>
          <w:sz w:val="24"/>
          <w:szCs w:val="24"/>
          <w:lang w:val="en-CA"/>
        </w:rPr>
        <w:t>ation</w:t>
      </w:r>
      <w:r w:rsidR="00915A58" w:rsidRPr="00FB4DD8">
        <w:rPr>
          <w:rFonts w:ascii="Times New Roman" w:hAnsi="Times New Roman"/>
          <w:sz w:val="24"/>
          <w:szCs w:val="24"/>
          <w:lang w:val="en-CA"/>
        </w:rPr>
        <w:t xml:space="preserve"> is not a specific theory, but more “a way of orchestrating existing concepts and to contribute to cumulative research in political science” (Radaelli, 2004). </w:t>
      </w:r>
      <w:r>
        <w:rPr>
          <w:rFonts w:ascii="Times New Roman" w:hAnsi="Times New Roman"/>
          <w:sz w:val="24"/>
          <w:szCs w:val="24"/>
          <w:lang w:val="en-CA"/>
        </w:rPr>
        <w:t xml:space="preserve">Furthermore, there is at least three different ways to understand </w:t>
      </w:r>
      <w:r w:rsidR="00374556" w:rsidRPr="00FB4DD8">
        <w:rPr>
          <w:rFonts w:ascii="Times New Roman" w:hAnsi="Times New Roman"/>
          <w:sz w:val="24"/>
          <w:szCs w:val="24"/>
          <w:lang w:val="en-CA"/>
        </w:rPr>
        <w:t>Europeanization</w:t>
      </w:r>
      <w:r w:rsidR="00915A58" w:rsidRPr="00FB4DD8">
        <w:rPr>
          <w:rFonts w:ascii="Times New Roman" w:hAnsi="Times New Roman"/>
          <w:sz w:val="24"/>
          <w:szCs w:val="24"/>
          <w:lang w:val="en-CA"/>
        </w:rPr>
        <w:t>:</w:t>
      </w:r>
    </w:p>
    <w:p w:rsidR="00915A58" w:rsidRPr="00FB4DD8" w:rsidRDefault="00915A58" w:rsidP="00790EC0">
      <w:pPr>
        <w:numPr>
          <w:ilvl w:val="0"/>
          <w:numId w:val="10"/>
        </w:numPr>
        <w:spacing w:line="240" w:lineRule="auto"/>
        <w:jc w:val="both"/>
        <w:rPr>
          <w:rFonts w:ascii="Times New Roman" w:hAnsi="Times New Roman"/>
          <w:sz w:val="24"/>
          <w:szCs w:val="24"/>
          <w:lang w:val="en-CA"/>
        </w:rPr>
      </w:pPr>
      <w:r w:rsidRPr="00FB4DD8">
        <w:rPr>
          <w:rFonts w:ascii="Times New Roman" w:hAnsi="Times New Roman"/>
          <w:sz w:val="24"/>
          <w:szCs w:val="24"/>
          <w:lang w:val="en-CA"/>
        </w:rPr>
        <w:t>Development of a European level of governance</w:t>
      </w:r>
    </w:p>
    <w:p w:rsidR="00915A58" w:rsidRPr="00FB4DD8" w:rsidRDefault="00915A58" w:rsidP="00790EC0">
      <w:pPr>
        <w:numPr>
          <w:ilvl w:val="0"/>
          <w:numId w:val="10"/>
        </w:numPr>
        <w:spacing w:line="240" w:lineRule="auto"/>
        <w:jc w:val="both"/>
        <w:rPr>
          <w:rFonts w:ascii="Times New Roman" w:hAnsi="Times New Roman"/>
          <w:sz w:val="24"/>
          <w:szCs w:val="24"/>
          <w:lang w:val="en-CA"/>
        </w:rPr>
      </w:pPr>
      <w:r w:rsidRPr="00FB4DD8">
        <w:rPr>
          <w:rFonts w:ascii="Times New Roman" w:hAnsi="Times New Roman"/>
          <w:sz w:val="24"/>
          <w:szCs w:val="24"/>
          <w:lang w:val="en-CA"/>
        </w:rPr>
        <w:t>The process of impact and influence from the supranational level to the national level</w:t>
      </w:r>
    </w:p>
    <w:p w:rsidR="00915A58" w:rsidRPr="004E2E1F" w:rsidRDefault="00915A58" w:rsidP="00790EC0">
      <w:pPr>
        <w:numPr>
          <w:ilvl w:val="0"/>
          <w:numId w:val="10"/>
        </w:numPr>
        <w:spacing w:line="240" w:lineRule="auto"/>
        <w:jc w:val="both"/>
        <w:rPr>
          <w:rFonts w:ascii="Times New Roman" w:hAnsi="Times New Roman"/>
          <w:sz w:val="24"/>
          <w:szCs w:val="24"/>
          <w:lang w:val="en-CA"/>
        </w:rPr>
      </w:pPr>
      <w:r w:rsidRPr="00FB4DD8">
        <w:rPr>
          <w:rFonts w:ascii="Times New Roman" w:hAnsi="Times New Roman"/>
          <w:sz w:val="24"/>
          <w:szCs w:val="24"/>
          <w:lang w:val="en-CA"/>
        </w:rPr>
        <w:t xml:space="preserve">Processes focusing on </w:t>
      </w:r>
      <w:r>
        <w:rPr>
          <w:rFonts w:ascii="Times New Roman" w:hAnsi="Times New Roman"/>
          <w:sz w:val="24"/>
          <w:szCs w:val="24"/>
          <w:lang w:val="en-CA"/>
        </w:rPr>
        <w:t xml:space="preserve">the </w:t>
      </w:r>
      <w:r w:rsidRPr="00FB4DD8">
        <w:rPr>
          <w:rFonts w:ascii="Times New Roman" w:hAnsi="Times New Roman"/>
          <w:sz w:val="24"/>
          <w:szCs w:val="24"/>
          <w:lang w:val="en-CA"/>
        </w:rPr>
        <w:t xml:space="preserve">development of shared beliefs and </w:t>
      </w:r>
      <w:r w:rsidRPr="004E2E1F">
        <w:rPr>
          <w:rFonts w:ascii="Times New Roman" w:hAnsi="Times New Roman"/>
          <w:sz w:val="24"/>
          <w:szCs w:val="24"/>
          <w:lang w:val="en-CA"/>
        </w:rPr>
        <w:t xml:space="preserve">norms </w:t>
      </w:r>
      <w:r w:rsidRPr="006F6A6F">
        <w:rPr>
          <w:rFonts w:ascii="Times New Roman" w:hAnsi="Times New Roman"/>
          <w:sz w:val="24"/>
          <w:szCs w:val="24"/>
          <w:lang w:val="en-CA"/>
        </w:rPr>
        <w:t xml:space="preserve">that </w:t>
      </w:r>
      <w:r w:rsidR="004E2E1F">
        <w:rPr>
          <w:rFonts w:ascii="Times New Roman" w:hAnsi="Times New Roman"/>
          <w:sz w:val="24"/>
          <w:szCs w:val="24"/>
          <w:lang w:val="en-CA"/>
        </w:rPr>
        <w:t xml:space="preserve">might </w:t>
      </w:r>
      <w:r w:rsidR="00BA0004">
        <w:rPr>
          <w:rFonts w:ascii="Times New Roman" w:hAnsi="Times New Roman"/>
          <w:sz w:val="24"/>
          <w:szCs w:val="24"/>
          <w:lang w:val="en-CA"/>
        </w:rPr>
        <w:t xml:space="preserve">then </w:t>
      </w:r>
      <w:r w:rsidR="004E2E1F">
        <w:rPr>
          <w:rFonts w:ascii="Times New Roman" w:hAnsi="Times New Roman"/>
          <w:sz w:val="24"/>
          <w:szCs w:val="24"/>
          <w:lang w:val="en-CA"/>
        </w:rPr>
        <w:t xml:space="preserve">be </w:t>
      </w:r>
      <w:r w:rsidRPr="006F6A6F">
        <w:rPr>
          <w:rFonts w:ascii="Times New Roman" w:hAnsi="Times New Roman"/>
          <w:sz w:val="24"/>
          <w:szCs w:val="24"/>
          <w:lang w:val="en-CA"/>
        </w:rPr>
        <w:t>transfer</w:t>
      </w:r>
      <w:r w:rsidR="00BA0004">
        <w:rPr>
          <w:rFonts w:ascii="Times New Roman" w:hAnsi="Times New Roman"/>
          <w:sz w:val="24"/>
          <w:szCs w:val="24"/>
          <w:lang w:val="en-CA"/>
        </w:rPr>
        <w:t>r</w:t>
      </w:r>
      <w:r w:rsidRPr="006F6A6F">
        <w:rPr>
          <w:rFonts w:ascii="Times New Roman" w:hAnsi="Times New Roman"/>
          <w:sz w:val="24"/>
          <w:szCs w:val="24"/>
          <w:lang w:val="en-CA"/>
        </w:rPr>
        <w:t>ed</w:t>
      </w:r>
      <w:r w:rsidRPr="004E2E1F">
        <w:rPr>
          <w:rFonts w:ascii="Times New Roman" w:hAnsi="Times New Roman"/>
          <w:sz w:val="24"/>
          <w:szCs w:val="24"/>
          <w:lang w:val="en-CA"/>
        </w:rPr>
        <w:t xml:space="preserve"> to nation states, but also in both a bottom</w:t>
      </w:r>
      <w:r w:rsidR="00764BA0">
        <w:rPr>
          <w:rFonts w:ascii="Times New Roman" w:hAnsi="Times New Roman"/>
          <w:sz w:val="24"/>
          <w:szCs w:val="24"/>
          <w:lang w:val="en-CA"/>
        </w:rPr>
        <w:t xml:space="preserve">-up and top-down understanding </w:t>
      </w:r>
      <w:r w:rsidRPr="004E2E1F">
        <w:rPr>
          <w:rFonts w:ascii="Times New Roman" w:hAnsi="Times New Roman"/>
          <w:sz w:val="24"/>
          <w:szCs w:val="24"/>
          <w:lang w:val="en-CA"/>
        </w:rPr>
        <w:t>(Börzel and Risse, 2007).</w:t>
      </w:r>
    </w:p>
    <w:p w:rsidR="00915A58" w:rsidRPr="00FB4DD8" w:rsidRDefault="00915A58" w:rsidP="00790EC0">
      <w:pPr>
        <w:spacing w:line="240" w:lineRule="auto"/>
        <w:jc w:val="both"/>
        <w:rPr>
          <w:rFonts w:ascii="Times New Roman" w:hAnsi="Times New Roman"/>
          <w:sz w:val="24"/>
          <w:szCs w:val="24"/>
          <w:lang w:val="en-CA"/>
        </w:rPr>
      </w:pPr>
      <w:r w:rsidRPr="00FB4DD8">
        <w:rPr>
          <w:rFonts w:ascii="Times New Roman" w:hAnsi="Times New Roman"/>
          <w:sz w:val="24"/>
          <w:szCs w:val="24"/>
          <w:lang w:val="en-CA"/>
        </w:rPr>
        <w:t xml:space="preserve">However, in general </w:t>
      </w:r>
      <w:r w:rsidR="00374556" w:rsidRPr="00FB4DD8">
        <w:rPr>
          <w:rFonts w:ascii="Times New Roman" w:hAnsi="Times New Roman"/>
          <w:sz w:val="24"/>
          <w:szCs w:val="24"/>
          <w:lang w:val="en-CA"/>
        </w:rPr>
        <w:t>Europeanization</w:t>
      </w:r>
      <w:r w:rsidR="00764BA0">
        <w:rPr>
          <w:rFonts w:ascii="Times New Roman" w:hAnsi="Times New Roman"/>
          <w:sz w:val="24"/>
          <w:szCs w:val="24"/>
          <w:lang w:val="en-CA"/>
        </w:rPr>
        <w:t xml:space="preserve"> can be understood</w:t>
      </w:r>
      <w:r w:rsidRPr="00FB4DD8">
        <w:rPr>
          <w:rFonts w:ascii="Times New Roman" w:hAnsi="Times New Roman"/>
          <w:sz w:val="24"/>
          <w:szCs w:val="24"/>
          <w:lang w:val="en-CA"/>
        </w:rPr>
        <w:t xml:space="preserve"> as th</w:t>
      </w:r>
      <w:r w:rsidR="00A76A03">
        <w:rPr>
          <w:rFonts w:ascii="Times New Roman" w:hAnsi="Times New Roman"/>
          <w:sz w:val="24"/>
          <w:szCs w:val="24"/>
          <w:lang w:val="en-CA"/>
        </w:rPr>
        <w:t>e impact of the EU on European i</w:t>
      </w:r>
      <w:r w:rsidRPr="00FB4DD8">
        <w:rPr>
          <w:rFonts w:ascii="Times New Roman" w:hAnsi="Times New Roman"/>
          <w:sz w:val="24"/>
          <w:szCs w:val="24"/>
          <w:lang w:val="en-CA"/>
        </w:rPr>
        <w:t>ntegration and member states, in line with Radelli (2003), as this implies a focus on the link between the supranational development and national welfare state development</w:t>
      </w:r>
      <w:r w:rsidR="002826AB">
        <w:rPr>
          <w:rFonts w:ascii="Times New Roman" w:hAnsi="Times New Roman"/>
          <w:sz w:val="24"/>
          <w:szCs w:val="24"/>
          <w:lang w:val="en-CA"/>
        </w:rPr>
        <w:t>.</w:t>
      </w:r>
      <w:r w:rsidRPr="00FB4DD8">
        <w:rPr>
          <w:rFonts w:ascii="Times New Roman" w:hAnsi="Times New Roman"/>
          <w:sz w:val="24"/>
          <w:szCs w:val="24"/>
          <w:lang w:val="en-CA"/>
        </w:rPr>
        <w:t xml:space="preserve"> </w:t>
      </w:r>
      <w:r w:rsidR="00BA0004">
        <w:rPr>
          <w:rFonts w:ascii="Times New Roman" w:hAnsi="Times New Roman"/>
          <w:sz w:val="24"/>
          <w:szCs w:val="24"/>
          <w:lang w:val="en-CA"/>
        </w:rPr>
        <w:t>I</w:t>
      </w:r>
      <w:r w:rsidRPr="00FB4DD8">
        <w:rPr>
          <w:rFonts w:ascii="Times New Roman" w:hAnsi="Times New Roman"/>
          <w:sz w:val="24"/>
          <w:szCs w:val="24"/>
          <w:lang w:val="en-CA"/>
        </w:rPr>
        <w:t>mpact can</w:t>
      </w:r>
      <w:r w:rsidR="00BA0004">
        <w:rPr>
          <w:rFonts w:ascii="Times New Roman" w:hAnsi="Times New Roman"/>
          <w:sz w:val="24"/>
          <w:szCs w:val="24"/>
          <w:lang w:val="en-CA"/>
        </w:rPr>
        <w:t xml:space="preserve"> in principle be</w:t>
      </w:r>
      <w:r w:rsidRPr="00FB4DD8">
        <w:rPr>
          <w:rFonts w:ascii="Times New Roman" w:hAnsi="Times New Roman"/>
          <w:sz w:val="24"/>
          <w:szCs w:val="24"/>
          <w:lang w:val="en-CA"/>
        </w:rPr>
        <w:t xml:space="preserve"> in both direction</w:t>
      </w:r>
      <w:r w:rsidR="002826AB">
        <w:rPr>
          <w:rFonts w:ascii="Times New Roman" w:hAnsi="Times New Roman"/>
          <w:sz w:val="24"/>
          <w:szCs w:val="24"/>
          <w:lang w:val="en-CA"/>
        </w:rPr>
        <w:t>s</w:t>
      </w:r>
      <w:r w:rsidRPr="00FB4DD8">
        <w:rPr>
          <w:rFonts w:ascii="Times New Roman" w:hAnsi="Times New Roman"/>
          <w:sz w:val="24"/>
          <w:szCs w:val="24"/>
          <w:lang w:val="en-CA"/>
        </w:rPr>
        <w:t xml:space="preserve"> based on </w:t>
      </w:r>
      <w:r w:rsidR="002826AB">
        <w:rPr>
          <w:rFonts w:ascii="Times New Roman" w:hAnsi="Times New Roman"/>
          <w:sz w:val="24"/>
          <w:szCs w:val="24"/>
          <w:lang w:val="en-CA"/>
        </w:rPr>
        <w:t>either</w:t>
      </w:r>
      <w:r>
        <w:rPr>
          <w:rFonts w:ascii="Times New Roman" w:hAnsi="Times New Roman"/>
          <w:sz w:val="24"/>
          <w:szCs w:val="24"/>
          <w:lang w:val="en-CA"/>
        </w:rPr>
        <w:t xml:space="preserve"> u</w:t>
      </w:r>
      <w:r w:rsidRPr="00FB4DD8">
        <w:rPr>
          <w:rFonts w:ascii="Times New Roman" w:hAnsi="Times New Roman"/>
          <w:sz w:val="24"/>
          <w:szCs w:val="24"/>
          <w:lang w:val="en-CA"/>
        </w:rPr>
        <w:t>ploading or downloading of ideas and policies</w:t>
      </w:r>
      <w:r w:rsidR="00BA0004">
        <w:rPr>
          <w:rFonts w:ascii="Times New Roman" w:hAnsi="Times New Roman"/>
          <w:sz w:val="24"/>
          <w:szCs w:val="24"/>
          <w:lang w:val="en-CA"/>
        </w:rPr>
        <w:t xml:space="preserve">, </w:t>
      </w:r>
      <w:r w:rsidR="00764BA0">
        <w:rPr>
          <w:rFonts w:ascii="Times New Roman" w:hAnsi="Times New Roman"/>
          <w:sz w:val="24"/>
          <w:szCs w:val="24"/>
          <w:lang w:val="en-CA"/>
        </w:rPr>
        <w:t>however in this article focus is on</w:t>
      </w:r>
      <w:r w:rsidR="00BA0004">
        <w:rPr>
          <w:rFonts w:ascii="Times New Roman" w:hAnsi="Times New Roman"/>
          <w:sz w:val="24"/>
          <w:szCs w:val="24"/>
          <w:lang w:val="en-CA"/>
        </w:rPr>
        <w:t xml:space="preserve"> the </w:t>
      </w:r>
      <w:r w:rsidR="0065748A">
        <w:rPr>
          <w:rFonts w:ascii="Times New Roman" w:hAnsi="Times New Roman"/>
          <w:sz w:val="24"/>
          <w:szCs w:val="24"/>
          <w:lang w:val="en-CA"/>
        </w:rPr>
        <w:t xml:space="preserve">possible </w:t>
      </w:r>
      <w:r w:rsidR="00BA0004">
        <w:rPr>
          <w:rFonts w:ascii="Times New Roman" w:hAnsi="Times New Roman"/>
          <w:sz w:val="24"/>
          <w:szCs w:val="24"/>
          <w:lang w:val="en-CA"/>
        </w:rPr>
        <w:t>top-down impact</w:t>
      </w:r>
      <w:r w:rsidRPr="00FB4DD8">
        <w:rPr>
          <w:rFonts w:ascii="Times New Roman" w:hAnsi="Times New Roman"/>
          <w:sz w:val="24"/>
          <w:szCs w:val="24"/>
          <w:lang w:val="en-CA"/>
        </w:rPr>
        <w:t>.</w:t>
      </w:r>
      <w:r w:rsidR="00764BA0">
        <w:rPr>
          <w:rFonts w:ascii="Times New Roman" w:hAnsi="Times New Roman"/>
          <w:sz w:val="24"/>
          <w:szCs w:val="24"/>
          <w:lang w:val="en-CA"/>
        </w:rPr>
        <w:t xml:space="preserve"> </w:t>
      </w:r>
      <w:r w:rsidRPr="00FB4DD8">
        <w:rPr>
          <w:rFonts w:ascii="Times New Roman" w:hAnsi="Times New Roman"/>
          <w:sz w:val="24"/>
          <w:szCs w:val="24"/>
          <w:lang w:val="en-CA"/>
        </w:rPr>
        <w:t xml:space="preserve"> </w:t>
      </w:r>
    </w:p>
    <w:p w:rsidR="00915A58" w:rsidRPr="00FB4DD8" w:rsidRDefault="005041D1" w:rsidP="00790EC0">
      <w:pPr>
        <w:spacing w:line="240" w:lineRule="auto"/>
        <w:jc w:val="both"/>
        <w:rPr>
          <w:rFonts w:ascii="Times New Roman" w:hAnsi="Times New Roman"/>
          <w:sz w:val="24"/>
          <w:szCs w:val="24"/>
          <w:lang w:val="en-CA"/>
        </w:rPr>
      </w:pPr>
      <w:r>
        <w:rPr>
          <w:rFonts w:ascii="Times New Roman" w:hAnsi="Times New Roman"/>
          <w:sz w:val="24"/>
          <w:szCs w:val="24"/>
          <w:lang w:val="en-CA"/>
        </w:rPr>
        <w:t xml:space="preserve">There are several </w:t>
      </w:r>
      <w:r w:rsidR="00915A58" w:rsidRPr="00FB4DD8">
        <w:rPr>
          <w:rFonts w:ascii="Times New Roman" w:hAnsi="Times New Roman"/>
          <w:sz w:val="24"/>
          <w:szCs w:val="24"/>
          <w:lang w:val="en-CA"/>
        </w:rPr>
        <w:t>approach</w:t>
      </w:r>
      <w:r>
        <w:rPr>
          <w:rFonts w:ascii="Times New Roman" w:hAnsi="Times New Roman"/>
          <w:sz w:val="24"/>
          <w:szCs w:val="24"/>
          <w:lang w:val="en-CA"/>
        </w:rPr>
        <w:t>es to the understanding of Europeanization. One</w:t>
      </w:r>
      <w:r w:rsidR="00915A58" w:rsidRPr="00FB4DD8">
        <w:rPr>
          <w:rFonts w:ascii="Times New Roman" w:hAnsi="Times New Roman"/>
          <w:sz w:val="24"/>
          <w:szCs w:val="24"/>
          <w:lang w:val="en-CA"/>
        </w:rPr>
        <w:t xml:space="preserve"> is to see</w:t>
      </w:r>
      <w:r w:rsidR="00915A58">
        <w:rPr>
          <w:rFonts w:ascii="Times New Roman" w:hAnsi="Times New Roman"/>
          <w:sz w:val="24"/>
          <w:szCs w:val="24"/>
          <w:lang w:val="en-CA"/>
        </w:rPr>
        <w:t xml:space="preserve"> that </w:t>
      </w:r>
      <w:r w:rsidR="00915A58" w:rsidRPr="00FB4DD8">
        <w:rPr>
          <w:rFonts w:ascii="Times New Roman" w:hAnsi="Times New Roman"/>
          <w:sz w:val="24"/>
          <w:szCs w:val="24"/>
          <w:lang w:val="en-CA"/>
        </w:rPr>
        <w:t xml:space="preserve">“Subjective </w:t>
      </w:r>
      <w:r w:rsidR="00374556" w:rsidRPr="00FB4DD8">
        <w:rPr>
          <w:rFonts w:ascii="Times New Roman" w:hAnsi="Times New Roman"/>
          <w:sz w:val="24"/>
          <w:szCs w:val="24"/>
          <w:lang w:val="en-CA"/>
        </w:rPr>
        <w:t>Europeanization</w:t>
      </w:r>
      <w:r w:rsidR="00915A58" w:rsidRPr="00FB4DD8">
        <w:rPr>
          <w:rFonts w:ascii="Times New Roman" w:hAnsi="Times New Roman"/>
          <w:sz w:val="24"/>
          <w:szCs w:val="24"/>
          <w:lang w:val="en-CA"/>
        </w:rPr>
        <w:t xml:space="preserve"> refers to Europe’s growing role in the cognitive, affective and normative perceptions and orientation of people, and the weakening of the fixation on t</w:t>
      </w:r>
      <w:r w:rsidR="00BD6DC4">
        <w:rPr>
          <w:rFonts w:ascii="Times New Roman" w:hAnsi="Times New Roman"/>
          <w:sz w:val="24"/>
          <w:szCs w:val="24"/>
          <w:lang w:val="en-CA"/>
        </w:rPr>
        <w:t xml:space="preserve">he nation state. Europe appears </w:t>
      </w:r>
      <w:r w:rsidR="00915A58" w:rsidRPr="00FB4DD8">
        <w:rPr>
          <w:rFonts w:ascii="Times New Roman" w:hAnsi="Times New Roman"/>
          <w:sz w:val="24"/>
          <w:szCs w:val="24"/>
          <w:lang w:val="en-CA"/>
        </w:rPr>
        <w:t>as an additional frame of reference, superimposed on the level of the nation state but without necessarily replacing it” (Mau and Verwiebe, 2010 p. 329).</w:t>
      </w:r>
      <w:r>
        <w:rPr>
          <w:rFonts w:ascii="Times New Roman" w:hAnsi="Times New Roman"/>
          <w:sz w:val="24"/>
          <w:szCs w:val="24"/>
          <w:lang w:val="en-CA"/>
        </w:rPr>
        <w:t xml:space="preserve"> An interpretation indicati</w:t>
      </w:r>
      <w:r w:rsidR="0065748A">
        <w:rPr>
          <w:rFonts w:ascii="Times New Roman" w:hAnsi="Times New Roman"/>
          <w:sz w:val="24"/>
          <w:szCs w:val="24"/>
          <w:lang w:val="en-CA"/>
        </w:rPr>
        <w:t>ng only limited impact on welfare</w:t>
      </w:r>
      <w:r>
        <w:rPr>
          <w:rFonts w:ascii="Times New Roman" w:hAnsi="Times New Roman"/>
          <w:sz w:val="24"/>
          <w:szCs w:val="24"/>
          <w:lang w:val="en-CA"/>
        </w:rPr>
        <w:t xml:space="preserve"> in the member states</w:t>
      </w:r>
      <w:r w:rsidR="00A76A03">
        <w:rPr>
          <w:rFonts w:ascii="Times New Roman" w:hAnsi="Times New Roman"/>
          <w:sz w:val="24"/>
          <w:szCs w:val="24"/>
          <w:lang w:val="en-CA"/>
        </w:rPr>
        <w:t>, although cf. later th</w:t>
      </w:r>
      <w:r w:rsidR="00E51ED9">
        <w:rPr>
          <w:rFonts w:ascii="Times New Roman" w:hAnsi="Times New Roman"/>
          <w:sz w:val="24"/>
          <w:szCs w:val="24"/>
          <w:lang w:val="en-CA"/>
        </w:rPr>
        <w:t>is depends at least of the type of welfare state</w:t>
      </w:r>
      <w:r>
        <w:rPr>
          <w:rFonts w:ascii="Times New Roman" w:hAnsi="Times New Roman"/>
          <w:sz w:val="24"/>
          <w:szCs w:val="24"/>
          <w:lang w:val="en-CA"/>
        </w:rPr>
        <w:t>.</w:t>
      </w:r>
    </w:p>
    <w:p w:rsidR="005041D1" w:rsidRDefault="00915A58" w:rsidP="00790EC0">
      <w:pPr>
        <w:spacing w:line="240" w:lineRule="auto"/>
        <w:jc w:val="both"/>
        <w:rPr>
          <w:rFonts w:ascii="Times New Roman" w:hAnsi="Times New Roman"/>
          <w:sz w:val="24"/>
          <w:szCs w:val="24"/>
          <w:lang w:val="en-CA"/>
        </w:rPr>
      </w:pPr>
      <w:r>
        <w:rPr>
          <w:rFonts w:ascii="Times New Roman" w:hAnsi="Times New Roman"/>
          <w:sz w:val="24"/>
          <w:szCs w:val="24"/>
          <w:lang w:val="en-CA"/>
        </w:rPr>
        <w:t>The i</w:t>
      </w:r>
      <w:r w:rsidRPr="00FB4DD8">
        <w:rPr>
          <w:rFonts w:ascii="Times New Roman" w:hAnsi="Times New Roman"/>
          <w:sz w:val="24"/>
          <w:szCs w:val="24"/>
          <w:lang w:val="en-CA"/>
        </w:rPr>
        <w:t xml:space="preserve">mpact </w:t>
      </w:r>
      <w:r w:rsidR="005041D1">
        <w:rPr>
          <w:rFonts w:ascii="Times New Roman" w:hAnsi="Times New Roman"/>
          <w:sz w:val="24"/>
          <w:szCs w:val="24"/>
          <w:lang w:val="en-CA"/>
        </w:rPr>
        <w:t xml:space="preserve">on a national welfare state </w:t>
      </w:r>
      <w:r w:rsidRPr="00FB4DD8">
        <w:rPr>
          <w:rFonts w:ascii="Times New Roman" w:hAnsi="Times New Roman"/>
          <w:sz w:val="24"/>
          <w:szCs w:val="24"/>
          <w:lang w:val="en-CA"/>
        </w:rPr>
        <w:t>from Europeanization can be direct</w:t>
      </w:r>
      <w:r>
        <w:rPr>
          <w:rFonts w:ascii="Times New Roman" w:hAnsi="Times New Roman"/>
          <w:sz w:val="24"/>
          <w:szCs w:val="24"/>
          <w:lang w:val="en-CA"/>
        </w:rPr>
        <w:t xml:space="preserve"> </w:t>
      </w:r>
      <w:r w:rsidR="005041D1">
        <w:rPr>
          <w:rFonts w:ascii="Times New Roman" w:hAnsi="Times New Roman"/>
          <w:sz w:val="24"/>
          <w:szCs w:val="24"/>
          <w:lang w:val="en-CA"/>
        </w:rPr>
        <w:t>by a duty to impose a</w:t>
      </w:r>
      <w:r w:rsidRPr="00FB4DD8">
        <w:rPr>
          <w:rFonts w:ascii="Times New Roman" w:hAnsi="Times New Roman"/>
          <w:sz w:val="24"/>
          <w:szCs w:val="24"/>
          <w:lang w:val="en-CA"/>
        </w:rPr>
        <w:t xml:space="preserve"> directive and</w:t>
      </w:r>
      <w:r w:rsidR="005041D1">
        <w:rPr>
          <w:rFonts w:ascii="Times New Roman" w:hAnsi="Times New Roman"/>
          <w:sz w:val="24"/>
          <w:szCs w:val="24"/>
          <w:lang w:val="en-CA"/>
        </w:rPr>
        <w:t>/or change due to a</w:t>
      </w:r>
      <w:r w:rsidRPr="00FB4DD8">
        <w:rPr>
          <w:rFonts w:ascii="Times New Roman" w:hAnsi="Times New Roman"/>
          <w:sz w:val="24"/>
          <w:szCs w:val="24"/>
          <w:lang w:val="en-CA"/>
        </w:rPr>
        <w:t xml:space="preserve"> court decision</w:t>
      </w:r>
      <w:r w:rsidR="005041D1">
        <w:rPr>
          <w:rFonts w:ascii="Times New Roman" w:hAnsi="Times New Roman"/>
          <w:sz w:val="24"/>
          <w:szCs w:val="24"/>
          <w:lang w:val="en-CA"/>
        </w:rPr>
        <w:t>. In principle</w:t>
      </w:r>
      <w:r w:rsidR="00D713DC">
        <w:rPr>
          <w:rFonts w:ascii="Times New Roman" w:hAnsi="Times New Roman"/>
          <w:sz w:val="24"/>
          <w:szCs w:val="24"/>
          <w:lang w:val="en-CA"/>
        </w:rPr>
        <w:t xml:space="preserve"> </w:t>
      </w:r>
      <w:r w:rsidR="005041D1">
        <w:rPr>
          <w:rFonts w:ascii="Times New Roman" w:hAnsi="Times New Roman"/>
          <w:sz w:val="24"/>
          <w:szCs w:val="24"/>
          <w:lang w:val="en-CA"/>
        </w:rPr>
        <w:t xml:space="preserve">impact can </w:t>
      </w:r>
      <w:r w:rsidRPr="00FB4DD8">
        <w:rPr>
          <w:rFonts w:ascii="Times New Roman" w:hAnsi="Times New Roman"/>
          <w:sz w:val="24"/>
          <w:szCs w:val="24"/>
          <w:lang w:val="en-CA"/>
        </w:rPr>
        <w:t>also</w:t>
      </w:r>
      <w:r w:rsidR="00A76A03">
        <w:rPr>
          <w:rFonts w:ascii="Times New Roman" w:hAnsi="Times New Roman"/>
          <w:sz w:val="24"/>
          <w:szCs w:val="24"/>
          <w:lang w:val="en-CA"/>
        </w:rPr>
        <w:t xml:space="preserve"> take</w:t>
      </w:r>
      <w:r w:rsidR="005041D1">
        <w:rPr>
          <w:rFonts w:ascii="Times New Roman" w:hAnsi="Times New Roman"/>
          <w:sz w:val="24"/>
          <w:szCs w:val="24"/>
          <w:lang w:val="en-CA"/>
        </w:rPr>
        <w:t xml:space="preserve"> place</w:t>
      </w:r>
      <w:r w:rsidRPr="00FB4DD8">
        <w:rPr>
          <w:rFonts w:ascii="Times New Roman" w:hAnsi="Times New Roman"/>
          <w:sz w:val="24"/>
          <w:szCs w:val="24"/>
          <w:lang w:val="en-CA"/>
        </w:rPr>
        <w:t xml:space="preserve"> indirect</w:t>
      </w:r>
      <w:r w:rsidR="005041D1">
        <w:rPr>
          <w:rFonts w:ascii="Times New Roman" w:hAnsi="Times New Roman"/>
          <w:sz w:val="24"/>
          <w:szCs w:val="24"/>
          <w:lang w:val="en-CA"/>
        </w:rPr>
        <w:t>ly</w:t>
      </w:r>
      <w:r w:rsidRPr="00FB4DD8">
        <w:rPr>
          <w:rFonts w:ascii="Times New Roman" w:hAnsi="Times New Roman"/>
          <w:sz w:val="24"/>
          <w:szCs w:val="24"/>
          <w:lang w:val="en-CA"/>
        </w:rPr>
        <w:t xml:space="preserve"> through the gradual</w:t>
      </w:r>
      <w:r>
        <w:rPr>
          <w:rFonts w:ascii="Times New Roman" w:hAnsi="Times New Roman"/>
          <w:sz w:val="24"/>
          <w:szCs w:val="24"/>
          <w:lang w:val="en-CA"/>
        </w:rPr>
        <w:t>ly</w:t>
      </w:r>
      <w:r w:rsidRPr="00FB4DD8">
        <w:rPr>
          <w:rFonts w:ascii="Times New Roman" w:hAnsi="Times New Roman"/>
          <w:sz w:val="24"/>
          <w:szCs w:val="24"/>
          <w:lang w:val="en-CA"/>
        </w:rPr>
        <w:t xml:space="preserve"> more integrated European economies. </w:t>
      </w:r>
      <w:r w:rsidRPr="006F6A6F">
        <w:rPr>
          <w:rFonts w:ascii="Times New Roman" w:hAnsi="Times New Roman"/>
          <w:sz w:val="24"/>
          <w:szCs w:val="24"/>
          <w:lang w:val="en-CA"/>
        </w:rPr>
        <w:t>A core argument is that “most of the effects of economic and pol</w:t>
      </w:r>
      <w:r w:rsidR="00A76A03">
        <w:rPr>
          <w:rFonts w:ascii="Times New Roman" w:hAnsi="Times New Roman"/>
          <w:sz w:val="24"/>
          <w:szCs w:val="24"/>
          <w:lang w:val="en-CA"/>
        </w:rPr>
        <w:t>itical integration within the E</w:t>
      </w:r>
      <w:r w:rsidRPr="006F6A6F">
        <w:rPr>
          <w:rFonts w:ascii="Times New Roman" w:hAnsi="Times New Roman"/>
          <w:sz w:val="24"/>
          <w:szCs w:val="24"/>
          <w:lang w:val="en-CA"/>
        </w:rPr>
        <w:t>U: on social insurance and social services appear to have been indirect, with high unemployment serving as the main catalyst”</w:t>
      </w:r>
      <w:r w:rsidRPr="00FB4DD8">
        <w:rPr>
          <w:rFonts w:ascii="Times New Roman" w:hAnsi="Times New Roman"/>
          <w:sz w:val="24"/>
          <w:szCs w:val="24"/>
          <w:lang w:val="en-CA"/>
        </w:rPr>
        <w:t xml:space="preserve"> (Korpi, 2003, p. 604). A distinction </w:t>
      </w:r>
      <w:r w:rsidR="005041D1">
        <w:rPr>
          <w:rFonts w:ascii="Times New Roman" w:hAnsi="Times New Roman"/>
          <w:sz w:val="24"/>
          <w:szCs w:val="24"/>
          <w:lang w:val="en-CA"/>
        </w:rPr>
        <w:t xml:space="preserve">of the impact </w:t>
      </w:r>
      <w:r w:rsidRPr="00FB4DD8">
        <w:rPr>
          <w:rFonts w:ascii="Times New Roman" w:hAnsi="Times New Roman"/>
          <w:sz w:val="24"/>
          <w:szCs w:val="24"/>
          <w:lang w:val="en-CA"/>
        </w:rPr>
        <w:t>is between positive and negative int</w:t>
      </w:r>
      <w:r w:rsidR="002826AB">
        <w:rPr>
          <w:rFonts w:ascii="Times New Roman" w:hAnsi="Times New Roman"/>
          <w:sz w:val="24"/>
          <w:szCs w:val="24"/>
          <w:lang w:val="en-CA"/>
        </w:rPr>
        <w:t>egration (Kuhnle, 1999). It has</w:t>
      </w:r>
      <w:r w:rsidR="005041D1">
        <w:rPr>
          <w:rFonts w:ascii="Times New Roman" w:hAnsi="Times New Roman"/>
          <w:sz w:val="24"/>
          <w:szCs w:val="24"/>
          <w:lang w:val="en-CA"/>
        </w:rPr>
        <w:t xml:space="preserve"> </w:t>
      </w:r>
      <w:r w:rsidRPr="00FB4DD8">
        <w:rPr>
          <w:rFonts w:ascii="Times New Roman" w:hAnsi="Times New Roman"/>
          <w:sz w:val="24"/>
          <w:szCs w:val="24"/>
          <w:lang w:val="en-CA"/>
        </w:rPr>
        <w:t>been argued that EU social policy is driven mainly by negative integration, or by courts and markets. Further</w:t>
      </w:r>
      <w:r>
        <w:rPr>
          <w:rFonts w:ascii="Times New Roman" w:hAnsi="Times New Roman"/>
          <w:sz w:val="24"/>
          <w:szCs w:val="24"/>
          <w:lang w:val="en-CA"/>
        </w:rPr>
        <w:t>more</w:t>
      </w:r>
      <w:r w:rsidRPr="00FB4DD8">
        <w:rPr>
          <w:rFonts w:ascii="Times New Roman" w:hAnsi="Times New Roman"/>
          <w:sz w:val="24"/>
          <w:szCs w:val="24"/>
          <w:lang w:val="en-CA"/>
        </w:rPr>
        <w:t>, that po</w:t>
      </w:r>
      <w:r w:rsidR="00A76A03">
        <w:rPr>
          <w:rFonts w:ascii="Times New Roman" w:hAnsi="Times New Roman"/>
          <w:sz w:val="24"/>
          <w:szCs w:val="24"/>
          <w:lang w:val="en-CA"/>
        </w:rPr>
        <w:t>sitive integration is not done</w:t>
      </w:r>
      <w:r w:rsidRPr="00FB4DD8">
        <w:rPr>
          <w:rFonts w:ascii="Times New Roman" w:hAnsi="Times New Roman"/>
          <w:sz w:val="24"/>
          <w:szCs w:val="24"/>
          <w:lang w:val="en-CA"/>
        </w:rPr>
        <w:t xml:space="preserve"> by </w:t>
      </w:r>
      <w:r>
        <w:rPr>
          <w:rFonts w:ascii="Times New Roman" w:hAnsi="Times New Roman"/>
          <w:sz w:val="24"/>
          <w:szCs w:val="24"/>
          <w:lang w:val="en-CA"/>
        </w:rPr>
        <w:t xml:space="preserve">the </w:t>
      </w:r>
      <w:r w:rsidRPr="00FB4DD8">
        <w:rPr>
          <w:rFonts w:ascii="Times New Roman" w:hAnsi="Times New Roman"/>
          <w:sz w:val="24"/>
          <w:szCs w:val="24"/>
          <w:lang w:val="en-CA"/>
        </w:rPr>
        <w:t xml:space="preserve">transfer of sovereignty from national states to </w:t>
      </w:r>
      <w:r>
        <w:rPr>
          <w:rFonts w:ascii="Times New Roman" w:hAnsi="Times New Roman"/>
          <w:sz w:val="24"/>
          <w:szCs w:val="24"/>
          <w:lang w:val="en-CA"/>
        </w:rPr>
        <w:t xml:space="preserve">the </w:t>
      </w:r>
      <w:r w:rsidRPr="00FB4DD8">
        <w:rPr>
          <w:rFonts w:ascii="Times New Roman" w:hAnsi="Times New Roman"/>
          <w:sz w:val="24"/>
          <w:szCs w:val="24"/>
          <w:lang w:val="en-CA"/>
        </w:rPr>
        <w:t xml:space="preserve">EU level, but more through collaboration among the member states (Kvist and Saari, 2007). </w:t>
      </w:r>
      <w:r w:rsidR="00374556" w:rsidRPr="00FB4DD8">
        <w:rPr>
          <w:rFonts w:ascii="Times New Roman" w:hAnsi="Times New Roman"/>
          <w:sz w:val="24"/>
          <w:szCs w:val="24"/>
          <w:lang w:val="en-CA"/>
        </w:rPr>
        <w:t>Europeanization</w:t>
      </w:r>
      <w:r w:rsidRPr="00FB4DD8">
        <w:rPr>
          <w:rFonts w:ascii="Times New Roman" w:hAnsi="Times New Roman"/>
          <w:sz w:val="24"/>
          <w:szCs w:val="24"/>
          <w:lang w:val="en-CA"/>
        </w:rPr>
        <w:t xml:space="preserve"> thus</w:t>
      </w:r>
      <w:r>
        <w:rPr>
          <w:rFonts w:ascii="Times New Roman" w:hAnsi="Times New Roman"/>
          <w:sz w:val="24"/>
          <w:szCs w:val="24"/>
          <w:lang w:val="en-CA"/>
        </w:rPr>
        <w:t xml:space="preserve"> is</w:t>
      </w:r>
      <w:r w:rsidRPr="00FB4DD8">
        <w:rPr>
          <w:rFonts w:ascii="Times New Roman" w:hAnsi="Times New Roman"/>
          <w:sz w:val="24"/>
          <w:szCs w:val="24"/>
          <w:lang w:val="en-CA"/>
        </w:rPr>
        <w:t xml:space="preserve"> also argued</w:t>
      </w:r>
      <w:r>
        <w:rPr>
          <w:rFonts w:ascii="Times New Roman" w:hAnsi="Times New Roman"/>
          <w:sz w:val="24"/>
          <w:szCs w:val="24"/>
          <w:lang w:val="en-CA"/>
        </w:rPr>
        <w:t xml:space="preserve"> as something that</w:t>
      </w:r>
      <w:r w:rsidRPr="00FB4DD8">
        <w:rPr>
          <w:rFonts w:ascii="Times New Roman" w:hAnsi="Times New Roman"/>
          <w:sz w:val="24"/>
          <w:szCs w:val="24"/>
          <w:lang w:val="en-CA"/>
        </w:rPr>
        <w:t xml:space="preserve"> “walks on two legs – market efficiency and political voluntarism” (Verdier and Breen, 2001). </w:t>
      </w:r>
      <w:r w:rsidR="005041D1">
        <w:rPr>
          <w:rFonts w:ascii="Times New Roman" w:hAnsi="Times New Roman"/>
          <w:sz w:val="24"/>
          <w:szCs w:val="24"/>
          <w:lang w:val="en-CA"/>
        </w:rPr>
        <w:t>In this article focus is on the possible impact mainly from the understanding of negative integration coming through as a consequence of external pressure from the EU on national welfare policies</w:t>
      </w:r>
      <w:r w:rsidR="00A76A03">
        <w:rPr>
          <w:rFonts w:ascii="Times New Roman" w:hAnsi="Times New Roman"/>
          <w:sz w:val="24"/>
          <w:szCs w:val="24"/>
          <w:lang w:val="en-CA"/>
        </w:rPr>
        <w:t xml:space="preserve"> especially due to regulation and court cases</w:t>
      </w:r>
      <w:r w:rsidR="005041D1">
        <w:rPr>
          <w:rFonts w:ascii="Times New Roman" w:hAnsi="Times New Roman"/>
          <w:sz w:val="24"/>
          <w:szCs w:val="24"/>
          <w:lang w:val="en-CA"/>
        </w:rPr>
        <w:t>.</w:t>
      </w:r>
    </w:p>
    <w:p w:rsidR="00915A58" w:rsidRPr="00FB4DD8" w:rsidRDefault="005041D1" w:rsidP="00790EC0">
      <w:pPr>
        <w:spacing w:line="240" w:lineRule="auto"/>
        <w:jc w:val="both"/>
        <w:rPr>
          <w:rFonts w:ascii="Times New Roman" w:hAnsi="Times New Roman"/>
          <w:sz w:val="24"/>
          <w:szCs w:val="24"/>
          <w:lang w:val="en-CA"/>
        </w:rPr>
      </w:pPr>
      <w:r>
        <w:rPr>
          <w:rFonts w:ascii="Times New Roman" w:hAnsi="Times New Roman"/>
          <w:sz w:val="24"/>
          <w:szCs w:val="24"/>
          <w:lang w:val="en-CA"/>
        </w:rPr>
        <w:lastRenderedPageBreak/>
        <w:t>In principle</w:t>
      </w:r>
      <w:r w:rsidR="00593E8F">
        <w:rPr>
          <w:rFonts w:ascii="Times New Roman" w:hAnsi="Times New Roman"/>
          <w:sz w:val="24"/>
          <w:szCs w:val="24"/>
          <w:lang w:val="en-CA"/>
        </w:rPr>
        <w:t>,</w:t>
      </w:r>
      <w:r>
        <w:rPr>
          <w:rFonts w:ascii="Times New Roman" w:hAnsi="Times New Roman"/>
          <w:sz w:val="24"/>
          <w:szCs w:val="24"/>
          <w:lang w:val="en-CA"/>
        </w:rPr>
        <w:t xml:space="preserve"> </w:t>
      </w:r>
      <w:r w:rsidR="00915A58" w:rsidRPr="00FB4DD8">
        <w:rPr>
          <w:rFonts w:ascii="Times New Roman" w:hAnsi="Times New Roman"/>
          <w:sz w:val="24"/>
          <w:szCs w:val="24"/>
          <w:lang w:val="en-CA"/>
        </w:rPr>
        <w:t>the EU might influence</w:t>
      </w:r>
      <w:r>
        <w:rPr>
          <w:rFonts w:ascii="Times New Roman" w:hAnsi="Times New Roman"/>
          <w:sz w:val="24"/>
          <w:szCs w:val="24"/>
          <w:lang w:val="en-CA"/>
        </w:rPr>
        <w:t xml:space="preserve"> national welfare policies</w:t>
      </w:r>
      <w:r w:rsidR="00915A58">
        <w:rPr>
          <w:rFonts w:ascii="Times New Roman" w:hAnsi="Times New Roman"/>
          <w:sz w:val="24"/>
          <w:szCs w:val="24"/>
          <w:lang w:val="en-CA"/>
        </w:rPr>
        <w:t>,</w:t>
      </w:r>
      <w:r w:rsidR="00915A58" w:rsidRPr="00FB4DD8">
        <w:rPr>
          <w:rFonts w:ascii="Times New Roman" w:hAnsi="Times New Roman"/>
          <w:sz w:val="24"/>
          <w:szCs w:val="24"/>
          <w:lang w:val="en-CA"/>
        </w:rPr>
        <w:t xml:space="preserve"> not only </w:t>
      </w:r>
      <w:r w:rsidR="00915A58" w:rsidRPr="004E2E1F">
        <w:rPr>
          <w:rFonts w:ascii="Times New Roman" w:hAnsi="Times New Roman"/>
          <w:sz w:val="24"/>
          <w:szCs w:val="24"/>
          <w:lang w:val="en-CA"/>
        </w:rPr>
        <w:t xml:space="preserve">through </w:t>
      </w:r>
      <w:r w:rsidR="00915A58" w:rsidRPr="006F6A6F">
        <w:rPr>
          <w:rFonts w:ascii="Times New Roman" w:hAnsi="Times New Roman"/>
          <w:sz w:val="24"/>
          <w:szCs w:val="24"/>
          <w:lang w:val="en-CA"/>
        </w:rPr>
        <w:t>“hard” law</w:t>
      </w:r>
      <w:r w:rsidR="004E2E1F">
        <w:rPr>
          <w:rFonts w:ascii="Times New Roman" w:hAnsi="Times New Roman"/>
          <w:sz w:val="24"/>
          <w:szCs w:val="24"/>
          <w:lang w:val="en-CA"/>
        </w:rPr>
        <w:t xml:space="preserve"> (e.g. such as directives)</w:t>
      </w:r>
      <w:r w:rsidR="00915A58" w:rsidRPr="00FB4DD8">
        <w:rPr>
          <w:rFonts w:ascii="Times New Roman" w:hAnsi="Times New Roman"/>
          <w:sz w:val="24"/>
          <w:szCs w:val="24"/>
          <w:lang w:val="en-CA"/>
        </w:rPr>
        <w:t>, but also steering through the OMC</w:t>
      </w:r>
      <w:r>
        <w:rPr>
          <w:rFonts w:ascii="Times New Roman" w:hAnsi="Times New Roman"/>
          <w:sz w:val="24"/>
          <w:szCs w:val="24"/>
          <w:lang w:val="en-CA"/>
        </w:rPr>
        <w:t>. This is albeit not the focus here</w:t>
      </w:r>
      <w:r w:rsidR="00593E8F">
        <w:rPr>
          <w:rFonts w:ascii="Times New Roman" w:hAnsi="Times New Roman"/>
          <w:sz w:val="24"/>
          <w:szCs w:val="24"/>
          <w:lang w:val="en-CA"/>
        </w:rPr>
        <w:t xml:space="preserve">, and </w:t>
      </w:r>
      <w:r w:rsidR="0065748A">
        <w:rPr>
          <w:rFonts w:ascii="Times New Roman" w:hAnsi="Times New Roman"/>
          <w:sz w:val="24"/>
          <w:szCs w:val="24"/>
          <w:lang w:val="en-CA"/>
        </w:rPr>
        <w:t xml:space="preserve">it is </w:t>
      </w:r>
      <w:r w:rsidR="00593E8F">
        <w:rPr>
          <w:rFonts w:ascii="Times New Roman" w:hAnsi="Times New Roman"/>
          <w:sz w:val="24"/>
          <w:szCs w:val="24"/>
          <w:lang w:val="en-CA"/>
        </w:rPr>
        <w:t>given the difficulty in having a counter-factual position difficult</w:t>
      </w:r>
      <w:r w:rsidR="0065748A">
        <w:rPr>
          <w:rFonts w:ascii="Times New Roman" w:hAnsi="Times New Roman"/>
          <w:sz w:val="24"/>
          <w:szCs w:val="24"/>
          <w:lang w:val="en-CA"/>
        </w:rPr>
        <w:t xml:space="preserve"> present evidence hereof</w:t>
      </w:r>
      <w:r w:rsidR="00593E8F">
        <w:rPr>
          <w:rFonts w:ascii="Times New Roman" w:hAnsi="Times New Roman"/>
          <w:sz w:val="24"/>
          <w:szCs w:val="24"/>
          <w:lang w:val="en-CA"/>
        </w:rPr>
        <w:t xml:space="preserve"> (Falkner, 2010)</w:t>
      </w:r>
      <w:r>
        <w:rPr>
          <w:rFonts w:ascii="Times New Roman" w:hAnsi="Times New Roman"/>
          <w:sz w:val="24"/>
          <w:szCs w:val="24"/>
          <w:lang w:val="en-CA"/>
        </w:rPr>
        <w:t>.</w:t>
      </w:r>
      <w:r w:rsidRPr="00FB4DD8" w:rsidDel="005041D1">
        <w:rPr>
          <w:rFonts w:ascii="Times New Roman" w:hAnsi="Times New Roman"/>
          <w:sz w:val="24"/>
          <w:szCs w:val="24"/>
          <w:lang w:val="en-CA"/>
        </w:rPr>
        <w:t xml:space="preserve"> </w:t>
      </w:r>
      <w:r w:rsidR="00915A58" w:rsidRPr="00FB4DD8">
        <w:rPr>
          <w:rFonts w:ascii="Times New Roman" w:hAnsi="Times New Roman"/>
          <w:sz w:val="24"/>
          <w:szCs w:val="24"/>
          <w:lang w:val="en-CA"/>
        </w:rPr>
        <w:t xml:space="preserve">A simple model of the </w:t>
      </w:r>
      <w:r w:rsidR="00374556" w:rsidRPr="00FB4DD8">
        <w:rPr>
          <w:rFonts w:ascii="Times New Roman" w:hAnsi="Times New Roman"/>
          <w:sz w:val="24"/>
          <w:szCs w:val="24"/>
          <w:lang w:val="en-CA"/>
        </w:rPr>
        <w:t>Europeanization</w:t>
      </w:r>
      <w:r w:rsidR="00915A58" w:rsidRPr="00FB4DD8">
        <w:rPr>
          <w:rFonts w:ascii="Times New Roman" w:hAnsi="Times New Roman"/>
          <w:sz w:val="24"/>
          <w:szCs w:val="24"/>
          <w:lang w:val="en-CA"/>
        </w:rPr>
        <w:t xml:space="preserve"> of social protection </w:t>
      </w:r>
      <w:r>
        <w:rPr>
          <w:rFonts w:ascii="Times New Roman" w:hAnsi="Times New Roman"/>
          <w:sz w:val="24"/>
          <w:szCs w:val="24"/>
          <w:lang w:val="en-CA"/>
        </w:rPr>
        <w:t xml:space="preserve">thus </w:t>
      </w:r>
      <w:r w:rsidR="00915A58" w:rsidRPr="00FB4DD8">
        <w:rPr>
          <w:rFonts w:ascii="Times New Roman" w:hAnsi="Times New Roman"/>
          <w:sz w:val="24"/>
          <w:szCs w:val="24"/>
          <w:lang w:val="en-CA"/>
        </w:rPr>
        <w:t xml:space="preserve">looks into how development at the EU level regarding policy processes, internal market </w:t>
      </w:r>
      <w:r w:rsidR="00915A58">
        <w:rPr>
          <w:rFonts w:ascii="Times New Roman" w:hAnsi="Times New Roman"/>
          <w:sz w:val="24"/>
          <w:szCs w:val="24"/>
          <w:lang w:val="en-CA"/>
        </w:rPr>
        <w:t xml:space="preserve">and so on </w:t>
      </w:r>
      <w:r w:rsidR="00915A58" w:rsidRPr="00FB4DD8">
        <w:rPr>
          <w:rFonts w:ascii="Times New Roman" w:hAnsi="Times New Roman"/>
          <w:sz w:val="24"/>
          <w:szCs w:val="24"/>
          <w:lang w:val="en-CA"/>
        </w:rPr>
        <w:t xml:space="preserve">is mediated by </w:t>
      </w:r>
      <w:r w:rsidR="00915A58">
        <w:rPr>
          <w:rFonts w:ascii="Times New Roman" w:hAnsi="Times New Roman"/>
          <w:sz w:val="24"/>
          <w:szCs w:val="24"/>
          <w:lang w:val="en-CA"/>
        </w:rPr>
        <w:t xml:space="preserve">the </w:t>
      </w:r>
      <w:r w:rsidR="00915A58" w:rsidRPr="00FB4DD8">
        <w:rPr>
          <w:rFonts w:ascii="Times New Roman" w:hAnsi="Times New Roman"/>
          <w:sz w:val="24"/>
          <w:szCs w:val="24"/>
          <w:lang w:val="en-CA"/>
        </w:rPr>
        <w:t>welfare regime, country size</w:t>
      </w:r>
      <w:r w:rsidR="00915A58">
        <w:rPr>
          <w:rFonts w:ascii="Times New Roman" w:hAnsi="Times New Roman"/>
          <w:sz w:val="24"/>
          <w:szCs w:val="24"/>
          <w:lang w:val="en-CA"/>
        </w:rPr>
        <w:t>,</w:t>
      </w:r>
      <w:r w:rsidR="00915A58" w:rsidRPr="00FB4DD8">
        <w:rPr>
          <w:rFonts w:ascii="Times New Roman" w:hAnsi="Times New Roman"/>
          <w:sz w:val="24"/>
          <w:szCs w:val="24"/>
          <w:lang w:val="en-CA"/>
        </w:rPr>
        <w:t xml:space="preserve"> etc.</w:t>
      </w:r>
      <w:r w:rsidR="00915A58">
        <w:rPr>
          <w:rFonts w:ascii="Times New Roman" w:hAnsi="Times New Roman"/>
          <w:sz w:val="24"/>
          <w:szCs w:val="24"/>
          <w:lang w:val="en-CA"/>
        </w:rPr>
        <w:t xml:space="preserve"> – t</w:t>
      </w:r>
      <w:r w:rsidR="00915A58" w:rsidRPr="00FB4DD8">
        <w:rPr>
          <w:rFonts w:ascii="Times New Roman" w:hAnsi="Times New Roman"/>
          <w:sz w:val="24"/>
          <w:szCs w:val="24"/>
          <w:lang w:val="en-CA"/>
        </w:rPr>
        <w:t>his then might imply different kind</w:t>
      </w:r>
      <w:r w:rsidR="00915A58">
        <w:rPr>
          <w:rFonts w:ascii="Times New Roman" w:hAnsi="Times New Roman"/>
          <w:sz w:val="24"/>
          <w:szCs w:val="24"/>
          <w:lang w:val="en-CA"/>
        </w:rPr>
        <w:t>s</w:t>
      </w:r>
      <w:r w:rsidR="00915A58" w:rsidRPr="00FB4DD8">
        <w:rPr>
          <w:rFonts w:ascii="Times New Roman" w:hAnsi="Times New Roman"/>
          <w:sz w:val="24"/>
          <w:szCs w:val="24"/>
          <w:lang w:val="en-CA"/>
        </w:rPr>
        <w:t xml:space="preserve"> of responses and welfare reforms. The conclusion </w:t>
      </w:r>
      <w:r>
        <w:rPr>
          <w:rFonts w:ascii="Times New Roman" w:hAnsi="Times New Roman"/>
          <w:sz w:val="24"/>
          <w:szCs w:val="24"/>
          <w:lang w:val="en-CA"/>
        </w:rPr>
        <w:t>just a few years ago was</w:t>
      </w:r>
      <w:r w:rsidR="00915A58" w:rsidRPr="00FB4DD8">
        <w:rPr>
          <w:rFonts w:ascii="Times New Roman" w:hAnsi="Times New Roman"/>
          <w:sz w:val="24"/>
          <w:szCs w:val="24"/>
          <w:lang w:val="en-CA"/>
        </w:rPr>
        <w:t xml:space="preserve"> that since 2000</w:t>
      </w:r>
      <w:r w:rsidR="00915A58">
        <w:rPr>
          <w:rFonts w:ascii="Times New Roman" w:hAnsi="Times New Roman"/>
          <w:sz w:val="24"/>
          <w:szCs w:val="24"/>
          <w:lang w:val="en-CA"/>
        </w:rPr>
        <w:t>,</w:t>
      </w:r>
      <w:r w:rsidR="00915A58" w:rsidRPr="00FB4DD8">
        <w:rPr>
          <w:rFonts w:ascii="Times New Roman" w:hAnsi="Times New Roman"/>
          <w:sz w:val="24"/>
          <w:szCs w:val="24"/>
          <w:lang w:val="en-CA"/>
        </w:rPr>
        <w:t xml:space="preserve"> </w:t>
      </w:r>
      <w:r w:rsidR="00915A58">
        <w:rPr>
          <w:rFonts w:ascii="Times New Roman" w:hAnsi="Times New Roman"/>
          <w:sz w:val="24"/>
          <w:szCs w:val="24"/>
          <w:lang w:val="en-CA"/>
        </w:rPr>
        <w:t xml:space="preserve">the </w:t>
      </w:r>
      <w:r w:rsidR="00915A58" w:rsidRPr="00FB4DD8">
        <w:rPr>
          <w:rFonts w:ascii="Times New Roman" w:hAnsi="Times New Roman"/>
          <w:sz w:val="24"/>
          <w:szCs w:val="24"/>
          <w:lang w:val="en-CA"/>
        </w:rPr>
        <w:t>EU ha</w:t>
      </w:r>
      <w:r w:rsidR="00915A58">
        <w:rPr>
          <w:rFonts w:ascii="Times New Roman" w:hAnsi="Times New Roman"/>
          <w:sz w:val="24"/>
          <w:szCs w:val="24"/>
          <w:lang w:val="en-CA"/>
        </w:rPr>
        <w:t>s</w:t>
      </w:r>
      <w:r w:rsidR="00915A58" w:rsidRPr="00FB4DD8">
        <w:rPr>
          <w:rFonts w:ascii="Times New Roman" w:hAnsi="Times New Roman"/>
          <w:sz w:val="24"/>
          <w:szCs w:val="24"/>
          <w:lang w:val="en-CA"/>
        </w:rPr>
        <w:t xml:space="preserve"> had an increased influence on social protection, but also that “in sum, EU developments have influenced national welfare reform, but in varied ways and to different extents”</w:t>
      </w:r>
      <w:r w:rsidR="00915A58">
        <w:rPr>
          <w:rFonts w:ascii="Times New Roman" w:hAnsi="Times New Roman"/>
          <w:sz w:val="24"/>
          <w:szCs w:val="24"/>
          <w:lang w:val="en-CA"/>
        </w:rPr>
        <w:t xml:space="preserve"> </w:t>
      </w:r>
      <w:r w:rsidR="00915A58" w:rsidRPr="00FB4DD8">
        <w:rPr>
          <w:rFonts w:ascii="Times New Roman" w:hAnsi="Times New Roman"/>
          <w:sz w:val="24"/>
          <w:szCs w:val="24"/>
          <w:lang w:val="en-CA"/>
        </w:rPr>
        <w:t>(Kvist and Saari, 2007 p. 238).</w:t>
      </w:r>
    </w:p>
    <w:p w:rsidR="00915A58" w:rsidRPr="00FB4DD8" w:rsidRDefault="00915A58" w:rsidP="00790EC0">
      <w:pPr>
        <w:spacing w:line="240" w:lineRule="auto"/>
        <w:jc w:val="both"/>
        <w:rPr>
          <w:rFonts w:ascii="Times New Roman" w:hAnsi="Times New Roman"/>
          <w:sz w:val="24"/>
          <w:szCs w:val="24"/>
          <w:lang w:val="en-CA"/>
        </w:rPr>
      </w:pPr>
      <w:r>
        <w:rPr>
          <w:rFonts w:ascii="Times New Roman" w:hAnsi="Times New Roman"/>
          <w:sz w:val="24"/>
          <w:szCs w:val="24"/>
          <w:lang w:val="en-CA"/>
        </w:rPr>
        <w:t>The i</w:t>
      </w:r>
      <w:r w:rsidRPr="00FB4DD8">
        <w:rPr>
          <w:rFonts w:ascii="Times New Roman" w:hAnsi="Times New Roman"/>
          <w:sz w:val="24"/>
          <w:szCs w:val="24"/>
          <w:lang w:val="en-CA"/>
        </w:rPr>
        <w:t xml:space="preserve">mpact </w:t>
      </w:r>
      <w:r w:rsidR="005041D1">
        <w:rPr>
          <w:rFonts w:ascii="Times New Roman" w:hAnsi="Times New Roman"/>
          <w:sz w:val="24"/>
          <w:szCs w:val="24"/>
          <w:lang w:val="en-CA"/>
        </w:rPr>
        <w:t xml:space="preserve">of the EU </w:t>
      </w:r>
      <w:r w:rsidRPr="00FB4DD8">
        <w:rPr>
          <w:rFonts w:ascii="Times New Roman" w:hAnsi="Times New Roman"/>
          <w:sz w:val="24"/>
          <w:szCs w:val="24"/>
          <w:lang w:val="en-CA"/>
        </w:rPr>
        <w:t xml:space="preserve">has often been measured by looking into whether or not convergence or divergence takes place. Convergence can be related to </w:t>
      </w:r>
      <w:r>
        <w:rPr>
          <w:rFonts w:ascii="Times New Roman" w:hAnsi="Times New Roman"/>
          <w:sz w:val="24"/>
          <w:szCs w:val="24"/>
          <w:lang w:val="en-CA"/>
        </w:rPr>
        <w:t xml:space="preserve">factors such as </w:t>
      </w:r>
      <w:r w:rsidRPr="00FB4DD8">
        <w:rPr>
          <w:rFonts w:ascii="Times New Roman" w:hAnsi="Times New Roman"/>
          <w:sz w:val="24"/>
          <w:szCs w:val="24"/>
          <w:lang w:val="en-CA"/>
        </w:rPr>
        <w:t>ideas, structure</w:t>
      </w:r>
      <w:r>
        <w:rPr>
          <w:rFonts w:ascii="Times New Roman" w:hAnsi="Times New Roman"/>
          <w:sz w:val="24"/>
          <w:szCs w:val="24"/>
          <w:lang w:val="en-CA"/>
        </w:rPr>
        <w:t xml:space="preserve"> and</w:t>
      </w:r>
      <w:r w:rsidRPr="00FB4DD8">
        <w:rPr>
          <w:rFonts w:ascii="Times New Roman" w:hAnsi="Times New Roman"/>
          <w:sz w:val="24"/>
          <w:szCs w:val="24"/>
          <w:lang w:val="en-CA"/>
        </w:rPr>
        <w:t xml:space="preserve"> spending</w:t>
      </w:r>
      <w:r>
        <w:rPr>
          <w:rFonts w:ascii="Times New Roman" w:hAnsi="Times New Roman"/>
          <w:sz w:val="24"/>
          <w:szCs w:val="24"/>
          <w:lang w:val="en-CA"/>
        </w:rPr>
        <w:t>;</w:t>
      </w:r>
      <w:r w:rsidRPr="00FB4DD8">
        <w:rPr>
          <w:rFonts w:ascii="Times New Roman" w:hAnsi="Times New Roman"/>
          <w:sz w:val="24"/>
          <w:szCs w:val="24"/>
          <w:lang w:val="en-CA"/>
        </w:rPr>
        <w:t xml:space="preserve"> it might be </w:t>
      </w:r>
      <w:r>
        <w:rPr>
          <w:rFonts w:ascii="Times New Roman" w:hAnsi="Times New Roman"/>
          <w:sz w:val="24"/>
          <w:szCs w:val="24"/>
          <w:lang w:val="en-CA"/>
        </w:rPr>
        <w:t xml:space="preserve">equally </w:t>
      </w:r>
      <w:r w:rsidRPr="00FB4DD8">
        <w:rPr>
          <w:rFonts w:ascii="Times New Roman" w:hAnsi="Times New Roman"/>
          <w:sz w:val="24"/>
          <w:szCs w:val="24"/>
          <w:lang w:val="en-CA"/>
        </w:rPr>
        <w:t xml:space="preserve">argued that it is easier to agree upon ideas than implementation (Radaelli, 2005), which indirectly also can be seen </w:t>
      </w:r>
      <w:r>
        <w:rPr>
          <w:rFonts w:ascii="Times New Roman" w:hAnsi="Times New Roman"/>
          <w:sz w:val="24"/>
          <w:szCs w:val="24"/>
          <w:lang w:val="en-CA"/>
        </w:rPr>
        <w:t xml:space="preserve">to be </w:t>
      </w:r>
      <w:r w:rsidRPr="00FB4DD8">
        <w:rPr>
          <w:rFonts w:ascii="Times New Roman" w:hAnsi="Times New Roman"/>
          <w:sz w:val="24"/>
          <w:szCs w:val="24"/>
          <w:lang w:val="en-CA"/>
        </w:rPr>
        <w:t xml:space="preserve">confirmed by </w:t>
      </w:r>
      <w:r>
        <w:rPr>
          <w:rFonts w:ascii="Times New Roman" w:hAnsi="Times New Roman"/>
          <w:sz w:val="24"/>
          <w:szCs w:val="24"/>
          <w:lang w:val="en-CA"/>
        </w:rPr>
        <w:t xml:space="preserve">the fact </w:t>
      </w:r>
      <w:r w:rsidRPr="00FB4DD8">
        <w:rPr>
          <w:rFonts w:ascii="Times New Roman" w:hAnsi="Times New Roman"/>
          <w:sz w:val="24"/>
          <w:szCs w:val="24"/>
          <w:lang w:val="en-CA"/>
        </w:rPr>
        <w:t xml:space="preserve">that a common understanding of the concept of flexi-curity and policy aims of transforming labour market policy from passive to active </w:t>
      </w:r>
      <w:r>
        <w:rPr>
          <w:rFonts w:ascii="Times New Roman" w:hAnsi="Times New Roman"/>
          <w:sz w:val="24"/>
          <w:szCs w:val="24"/>
          <w:lang w:val="en-CA"/>
        </w:rPr>
        <w:t>are</w:t>
      </w:r>
      <w:r w:rsidRPr="00FB4DD8">
        <w:rPr>
          <w:rFonts w:ascii="Times New Roman" w:hAnsi="Times New Roman"/>
          <w:sz w:val="24"/>
          <w:szCs w:val="24"/>
          <w:lang w:val="en-CA"/>
        </w:rPr>
        <w:t xml:space="preserve"> </w:t>
      </w:r>
      <w:r w:rsidR="00202231">
        <w:rPr>
          <w:rFonts w:ascii="Times New Roman" w:hAnsi="Times New Roman"/>
          <w:sz w:val="24"/>
          <w:szCs w:val="24"/>
          <w:lang w:val="en-CA"/>
        </w:rPr>
        <w:t xml:space="preserve">in general accepted by member states </w:t>
      </w:r>
      <w:r w:rsidRPr="00FB4DD8">
        <w:rPr>
          <w:rFonts w:ascii="Times New Roman" w:hAnsi="Times New Roman"/>
          <w:sz w:val="24"/>
          <w:szCs w:val="24"/>
          <w:lang w:val="en-CA"/>
        </w:rPr>
        <w:t xml:space="preserve">without looking more into </w:t>
      </w:r>
      <w:r>
        <w:rPr>
          <w:rFonts w:ascii="Times New Roman" w:hAnsi="Times New Roman"/>
          <w:sz w:val="24"/>
          <w:szCs w:val="24"/>
          <w:lang w:val="en-CA"/>
        </w:rPr>
        <w:t xml:space="preserve">the </w:t>
      </w:r>
      <w:r w:rsidR="002826AB">
        <w:rPr>
          <w:rFonts w:ascii="Times New Roman" w:hAnsi="Times New Roman"/>
          <w:sz w:val="24"/>
          <w:szCs w:val="24"/>
          <w:lang w:val="en-CA"/>
        </w:rPr>
        <w:t>details of a more precise</w:t>
      </w:r>
      <w:r w:rsidRPr="00FB4DD8">
        <w:rPr>
          <w:rFonts w:ascii="Times New Roman" w:hAnsi="Times New Roman"/>
          <w:sz w:val="24"/>
          <w:szCs w:val="24"/>
          <w:lang w:val="en-CA"/>
        </w:rPr>
        <w:t xml:space="preserve"> understanding </w:t>
      </w:r>
      <w:r w:rsidR="00202231">
        <w:rPr>
          <w:rFonts w:ascii="Times New Roman" w:hAnsi="Times New Roman"/>
          <w:sz w:val="24"/>
          <w:szCs w:val="24"/>
          <w:lang w:val="en-CA"/>
        </w:rPr>
        <w:t xml:space="preserve">and implementation </w:t>
      </w:r>
      <w:r w:rsidRPr="00FB4DD8">
        <w:rPr>
          <w:rFonts w:ascii="Times New Roman" w:hAnsi="Times New Roman"/>
          <w:sz w:val="24"/>
          <w:szCs w:val="24"/>
          <w:lang w:val="en-CA"/>
        </w:rPr>
        <w:t xml:space="preserve">of </w:t>
      </w:r>
      <w:r w:rsidR="002826AB">
        <w:rPr>
          <w:rFonts w:ascii="Times New Roman" w:hAnsi="Times New Roman"/>
          <w:sz w:val="24"/>
          <w:szCs w:val="24"/>
          <w:lang w:val="en-CA"/>
        </w:rPr>
        <w:t>active labour market policy</w:t>
      </w:r>
      <w:r w:rsidRPr="00FB4DD8">
        <w:rPr>
          <w:rFonts w:ascii="Times New Roman" w:hAnsi="Times New Roman"/>
          <w:sz w:val="24"/>
          <w:szCs w:val="24"/>
          <w:lang w:val="en-CA"/>
        </w:rPr>
        <w:t>.</w:t>
      </w:r>
      <w:r w:rsidR="00736C96">
        <w:rPr>
          <w:rFonts w:ascii="Times New Roman" w:hAnsi="Times New Roman"/>
          <w:sz w:val="24"/>
          <w:szCs w:val="24"/>
          <w:lang w:val="en-CA"/>
        </w:rPr>
        <w:t xml:space="preserve"> Convergence in the labour market policy seems to have taken place (Aurich, 2011)</w:t>
      </w:r>
      <w:r w:rsidR="007E2811">
        <w:rPr>
          <w:rFonts w:ascii="Times New Roman" w:hAnsi="Times New Roman"/>
          <w:sz w:val="24"/>
          <w:szCs w:val="24"/>
          <w:lang w:val="en-CA"/>
        </w:rPr>
        <w:t xml:space="preserve">, however, it can be that this is in the instruments used, and further, that convergence might not </w:t>
      </w:r>
      <w:r w:rsidR="00374556">
        <w:rPr>
          <w:rFonts w:ascii="Times New Roman" w:hAnsi="Times New Roman"/>
          <w:sz w:val="24"/>
          <w:szCs w:val="24"/>
          <w:lang w:val="en-CA"/>
        </w:rPr>
        <w:t>always be the same as Europeaniz</w:t>
      </w:r>
      <w:r w:rsidR="007E2811">
        <w:rPr>
          <w:rFonts w:ascii="Times New Roman" w:hAnsi="Times New Roman"/>
          <w:sz w:val="24"/>
          <w:szCs w:val="24"/>
          <w:lang w:val="en-CA"/>
        </w:rPr>
        <w:t xml:space="preserve">ation (Vliet, </w:t>
      </w:r>
      <w:r w:rsidR="002826AB">
        <w:rPr>
          <w:rFonts w:ascii="Times New Roman" w:hAnsi="Times New Roman"/>
          <w:sz w:val="24"/>
          <w:szCs w:val="24"/>
          <w:lang w:val="en-CA"/>
        </w:rPr>
        <w:t>2010). A further possibility is</w:t>
      </w:r>
      <w:r w:rsidR="007E2811">
        <w:rPr>
          <w:rFonts w:ascii="Times New Roman" w:hAnsi="Times New Roman"/>
          <w:sz w:val="24"/>
          <w:szCs w:val="24"/>
          <w:lang w:val="en-CA"/>
        </w:rPr>
        <w:t xml:space="preserve"> that it is the level of social benefits </w:t>
      </w:r>
      <w:r w:rsidR="00E51ED9">
        <w:rPr>
          <w:rFonts w:ascii="Times New Roman" w:hAnsi="Times New Roman"/>
          <w:sz w:val="24"/>
          <w:szCs w:val="24"/>
          <w:lang w:val="en-CA"/>
        </w:rPr>
        <w:t xml:space="preserve">that is </w:t>
      </w:r>
      <w:r w:rsidR="007E2811">
        <w:rPr>
          <w:rFonts w:ascii="Times New Roman" w:hAnsi="Times New Roman"/>
          <w:sz w:val="24"/>
          <w:szCs w:val="24"/>
          <w:lang w:val="en-CA"/>
        </w:rPr>
        <w:t>converging, although evidence is mixed given that unemployment benefits seemingly has converged whereas this is not the case for social assistance (Caminada et. Al, 2010).</w:t>
      </w:r>
      <w:r w:rsidR="002826AB">
        <w:rPr>
          <w:rFonts w:ascii="Times New Roman" w:hAnsi="Times New Roman"/>
          <w:sz w:val="24"/>
          <w:szCs w:val="24"/>
          <w:lang w:val="en-CA"/>
        </w:rPr>
        <w:t xml:space="preserve"> Convergence on a lower level of benefits opens for a race to the bottom.</w:t>
      </w:r>
    </w:p>
    <w:p w:rsidR="00915A58" w:rsidRDefault="00915A58" w:rsidP="00790EC0">
      <w:pPr>
        <w:spacing w:line="240" w:lineRule="auto"/>
        <w:jc w:val="both"/>
        <w:rPr>
          <w:rFonts w:ascii="Times New Roman" w:hAnsi="Times New Roman"/>
          <w:sz w:val="24"/>
          <w:szCs w:val="24"/>
          <w:lang w:val="en-CA"/>
        </w:rPr>
      </w:pPr>
      <w:r w:rsidRPr="00FB4DD8">
        <w:rPr>
          <w:rFonts w:ascii="Times New Roman" w:hAnsi="Times New Roman"/>
          <w:sz w:val="24"/>
          <w:szCs w:val="24"/>
          <w:lang w:val="en-CA"/>
        </w:rPr>
        <w:t>Convergence has been one of the expected outcome</w:t>
      </w:r>
      <w:r>
        <w:rPr>
          <w:rFonts w:ascii="Times New Roman" w:hAnsi="Times New Roman"/>
          <w:sz w:val="24"/>
          <w:szCs w:val="24"/>
          <w:lang w:val="en-CA"/>
        </w:rPr>
        <w:t>s</w:t>
      </w:r>
      <w:r w:rsidRPr="00FB4DD8">
        <w:rPr>
          <w:rFonts w:ascii="Times New Roman" w:hAnsi="Times New Roman"/>
          <w:sz w:val="24"/>
          <w:szCs w:val="24"/>
          <w:lang w:val="en-CA"/>
        </w:rPr>
        <w:t xml:space="preserve"> of a more common approach and integration of the European economies, also revolving around issues such as policy innovation, diffusion and transfer. There ha</w:t>
      </w:r>
      <w:r>
        <w:rPr>
          <w:rFonts w:ascii="Times New Roman" w:hAnsi="Times New Roman"/>
          <w:sz w:val="24"/>
          <w:szCs w:val="24"/>
          <w:lang w:val="en-CA"/>
        </w:rPr>
        <w:t>ve</w:t>
      </w:r>
      <w:r w:rsidRPr="00FB4DD8">
        <w:rPr>
          <w:rFonts w:ascii="Times New Roman" w:hAnsi="Times New Roman"/>
          <w:sz w:val="24"/>
          <w:szCs w:val="24"/>
          <w:lang w:val="en-CA"/>
        </w:rPr>
        <w:t xml:space="preserve"> therefore also been several approaches to try to find out whether there has been an impact from</w:t>
      </w:r>
      <w:r w:rsidR="0065748A">
        <w:rPr>
          <w:rFonts w:ascii="Times New Roman" w:hAnsi="Times New Roman"/>
          <w:sz w:val="24"/>
          <w:szCs w:val="24"/>
          <w:lang w:val="en-CA"/>
        </w:rPr>
        <w:t xml:space="preserve"> analysis</w:t>
      </w:r>
      <w:r w:rsidRPr="00FB4DD8">
        <w:rPr>
          <w:rFonts w:ascii="Times New Roman" w:hAnsi="Times New Roman"/>
          <w:sz w:val="24"/>
          <w:szCs w:val="24"/>
          <w:lang w:val="en-CA"/>
        </w:rPr>
        <w:t xml:space="preserve"> using different dependent variables such as goals, content, instruments, outcomes and style of policy</w:t>
      </w:r>
      <w:r>
        <w:rPr>
          <w:rFonts w:ascii="Times New Roman" w:hAnsi="Times New Roman"/>
          <w:sz w:val="24"/>
          <w:szCs w:val="24"/>
          <w:lang w:val="en-CA"/>
        </w:rPr>
        <w:t>-</w:t>
      </w:r>
      <w:r w:rsidRPr="00FB4DD8">
        <w:rPr>
          <w:rFonts w:ascii="Times New Roman" w:hAnsi="Times New Roman"/>
          <w:sz w:val="24"/>
          <w:szCs w:val="24"/>
          <w:lang w:val="en-CA"/>
        </w:rPr>
        <w:t>making</w:t>
      </w:r>
      <w:r>
        <w:rPr>
          <w:rFonts w:ascii="Times New Roman" w:hAnsi="Times New Roman"/>
          <w:sz w:val="24"/>
          <w:szCs w:val="24"/>
          <w:lang w:val="en-CA"/>
        </w:rPr>
        <w:t>,</w:t>
      </w:r>
      <w:r w:rsidRPr="00FB4DD8">
        <w:rPr>
          <w:rFonts w:ascii="Times New Roman" w:hAnsi="Times New Roman"/>
          <w:sz w:val="24"/>
          <w:szCs w:val="24"/>
          <w:lang w:val="en-CA"/>
        </w:rPr>
        <w:t xml:space="preserve"> also </w:t>
      </w:r>
      <w:r w:rsidR="00607C8C">
        <w:rPr>
          <w:rFonts w:ascii="Times New Roman" w:hAnsi="Times New Roman"/>
          <w:sz w:val="24"/>
          <w:szCs w:val="24"/>
          <w:lang w:val="en-CA"/>
        </w:rPr>
        <w:t xml:space="preserve">with an argument of </w:t>
      </w:r>
      <w:r w:rsidRPr="00FB4DD8">
        <w:rPr>
          <w:rFonts w:ascii="Times New Roman" w:hAnsi="Times New Roman"/>
          <w:sz w:val="24"/>
          <w:szCs w:val="24"/>
          <w:lang w:val="en-CA"/>
        </w:rPr>
        <w:t xml:space="preserve">that policy output </w:t>
      </w:r>
      <w:r w:rsidR="00607C8C">
        <w:rPr>
          <w:rFonts w:ascii="Times New Roman" w:hAnsi="Times New Roman"/>
          <w:sz w:val="24"/>
          <w:szCs w:val="24"/>
          <w:lang w:val="en-CA"/>
        </w:rPr>
        <w:t xml:space="preserve">might be </w:t>
      </w:r>
      <w:r w:rsidRPr="00FB4DD8">
        <w:rPr>
          <w:rFonts w:ascii="Times New Roman" w:hAnsi="Times New Roman"/>
          <w:sz w:val="24"/>
          <w:szCs w:val="24"/>
          <w:lang w:val="en-CA"/>
        </w:rPr>
        <w:t>correlated with</w:t>
      </w:r>
      <w:r w:rsidR="00607C8C">
        <w:rPr>
          <w:rFonts w:ascii="Times New Roman" w:hAnsi="Times New Roman"/>
          <w:sz w:val="24"/>
          <w:szCs w:val="24"/>
          <w:lang w:val="en-CA"/>
        </w:rPr>
        <w:t xml:space="preserve"> especially the</w:t>
      </w:r>
      <w:r w:rsidRPr="00FB4DD8">
        <w:rPr>
          <w:rFonts w:ascii="Times New Roman" w:hAnsi="Times New Roman"/>
          <w:sz w:val="24"/>
          <w:szCs w:val="24"/>
          <w:lang w:val="en-CA"/>
        </w:rPr>
        <w:t xml:space="preserve"> levels of technological and economic development. </w:t>
      </w:r>
      <w:r w:rsidR="00A42B3F">
        <w:rPr>
          <w:rFonts w:ascii="Times New Roman" w:hAnsi="Times New Roman"/>
          <w:sz w:val="24"/>
          <w:szCs w:val="24"/>
          <w:lang w:val="en-CA"/>
        </w:rPr>
        <w:t xml:space="preserve">There has </w:t>
      </w:r>
      <w:r w:rsidR="00A42B3F" w:rsidRPr="00FB4DD8">
        <w:rPr>
          <w:rFonts w:ascii="Times New Roman" w:hAnsi="Times New Roman"/>
          <w:sz w:val="24"/>
          <w:szCs w:val="24"/>
          <w:lang w:val="en-CA"/>
        </w:rPr>
        <w:t>from 1985 to 1999 seem</w:t>
      </w:r>
      <w:r w:rsidR="00202231">
        <w:rPr>
          <w:rFonts w:ascii="Times New Roman" w:hAnsi="Times New Roman"/>
          <w:sz w:val="24"/>
          <w:szCs w:val="24"/>
          <w:lang w:val="en-CA"/>
        </w:rPr>
        <w:t>ingly, for example,</w:t>
      </w:r>
      <w:r w:rsidR="00A42B3F" w:rsidRPr="00FB4DD8">
        <w:rPr>
          <w:rFonts w:ascii="Times New Roman" w:hAnsi="Times New Roman"/>
          <w:sz w:val="24"/>
          <w:szCs w:val="24"/>
          <w:lang w:val="en-CA"/>
        </w:rPr>
        <w:t xml:space="preserve"> been a trend towards convergence </w:t>
      </w:r>
      <w:r w:rsidR="00A42B3F">
        <w:rPr>
          <w:rFonts w:ascii="Times New Roman" w:hAnsi="Times New Roman"/>
          <w:sz w:val="24"/>
          <w:szCs w:val="24"/>
          <w:lang w:val="en-CA"/>
        </w:rPr>
        <w:t>within EU</w:t>
      </w:r>
      <w:r w:rsidR="00D713DC">
        <w:rPr>
          <w:rFonts w:ascii="Times New Roman" w:hAnsi="Times New Roman"/>
          <w:sz w:val="24"/>
          <w:szCs w:val="24"/>
          <w:lang w:val="en-CA"/>
        </w:rPr>
        <w:t xml:space="preserve"> </w:t>
      </w:r>
      <w:r w:rsidR="00A42B3F" w:rsidRPr="00FB4DD8">
        <w:rPr>
          <w:rFonts w:ascii="Times New Roman" w:hAnsi="Times New Roman"/>
          <w:sz w:val="24"/>
          <w:szCs w:val="24"/>
          <w:lang w:val="en-CA"/>
        </w:rPr>
        <w:t>(Alsasua, J. et.al, 2007).</w:t>
      </w:r>
      <w:r w:rsidR="00A42B3F">
        <w:rPr>
          <w:rFonts w:ascii="Times New Roman" w:hAnsi="Times New Roman"/>
          <w:sz w:val="24"/>
          <w:szCs w:val="24"/>
          <w:lang w:val="en-CA"/>
        </w:rPr>
        <w:t xml:space="preserve"> An analysis of the EU 14 (excluding Luxembourg) in the time-span from 1980 to 2005 </w:t>
      </w:r>
      <w:r w:rsidR="00202231">
        <w:rPr>
          <w:rFonts w:ascii="Times New Roman" w:hAnsi="Times New Roman"/>
          <w:sz w:val="24"/>
          <w:szCs w:val="24"/>
          <w:lang w:val="en-CA"/>
        </w:rPr>
        <w:t xml:space="preserve">showed that </w:t>
      </w:r>
      <w:r w:rsidR="002826AB">
        <w:rPr>
          <w:rFonts w:ascii="Times New Roman" w:hAnsi="Times New Roman"/>
          <w:sz w:val="24"/>
          <w:szCs w:val="24"/>
          <w:lang w:val="en-CA"/>
        </w:rPr>
        <w:t>there has</w:t>
      </w:r>
      <w:r w:rsidR="0065748A">
        <w:rPr>
          <w:rFonts w:ascii="Times New Roman" w:hAnsi="Times New Roman"/>
          <w:sz w:val="24"/>
          <w:szCs w:val="24"/>
          <w:lang w:val="en-CA"/>
        </w:rPr>
        <w:t xml:space="preserve"> been in central welfare</w:t>
      </w:r>
      <w:r w:rsidR="00A42B3F">
        <w:rPr>
          <w:rFonts w:ascii="Times New Roman" w:hAnsi="Times New Roman"/>
          <w:sz w:val="24"/>
          <w:szCs w:val="24"/>
          <w:lang w:val="en-CA"/>
        </w:rPr>
        <w:t xml:space="preserve"> issues </w:t>
      </w:r>
      <w:r w:rsidR="00202231">
        <w:rPr>
          <w:rFonts w:ascii="Times New Roman" w:hAnsi="Times New Roman"/>
          <w:sz w:val="24"/>
          <w:szCs w:val="24"/>
          <w:lang w:val="en-CA"/>
        </w:rPr>
        <w:t xml:space="preserve">such </w:t>
      </w:r>
      <w:r w:rsidR="002826AB">
        <w:rPr>
          <w:rFonts w:ascii="Times New Roman" w:hAnsi="Times New Roman"/>
          <w:sz w:val="24"/>
          <w:szCs w:val="24"/>
          <w:lang w:val="en-CA"/>
        </w:rPr>
        <w:t>as pension and unemployment</w:t>
      </w:r>
      <w:r w:rsidR="00A42B3F">
        <w:rPr>
          <w:rFonts w:ascii="Times New Roman" w:hAnsi="Times New Roman"/>
          <w:sz w:val="24"/>
          <w:szCs w:val="24"/>
          <w:lang w:val="en-CA"/>
        </w:rPr>
        <w:t xml:space="preserve"> a tendency towards convergence (Paetzold, 2013), as a classical way of catching up</w:t>
      </w:r>
      <w:r w:rsidR="0065748A">
        <w:rPr>
          <w:rFonts w:ascii="Times New Roman" w:hAnsi="Times New Roman"/>
          <w:sz w:val="24"/>
          <w:szCs w:val="24"/>
          <w:lang w:val="en-CA"/>
        </w:rPr>
        <w:t>.</w:t>
      </w:r>
      <w:r w:rsidR="00A42B3F">
        <w:rPr>
          <w:rFonts w:ascii="Times New Roman" w:hAnsi="Times New Roman"/>
          <w:sz w:val="24"/>
          <w:szCs w:val="24"/>
          <w:lang w:val="en-CA"/>
        </w:rPr>
        <w:t xml:space="preserve"> </w:t>
      </w:r>
      <w:r w:rsidRPr="00FB4DD8">
        <w:rPr>
          <w:rFonts w:ascii="Times New Roman" w:hAnsi="Times New Roman"/>
          <w:sz w:val="24"/>
          <w:szCs w:val="24"/>
          <w:lang w:val="en-CA"/>
        </w:rPr>
        <w:t xml:space="preserve">In the same </w:t>
      </w:r>
      <w:r>
        <w:rPr>
          <w:rFonts w:ascii="Times New Roman" w:hAnsi="Times New Roman"/>
          <w:sz w:val="24"/>
          <w:szCs w:val="24"/>
          <w:lang w:val="en-CA"/>
        </w:rPr>
        <w:t>v</w:t>
      </w:r>
      <w:r w:rsidRPr="00FB4DD8">
        <w:rPr>
          <w:rFonts w:ascii="Times New Roman" w:hAnsi="Times New Roman"/>
          <w:sz w:val="24"/>
          <w:szCs w:val="24"/>
          <w:lang w:val="en-CA"/>
        </w:rPr>
        <w:t>ein</w:t>
      </w:r>
      <w:r>
        <w:rPr>
          <w:rFonts w:ascii="Times New Roman" w:hAnsi="Times New Roman"/>
          <w:sz w:val="24"/>
          <w:szCs w:val="24"/>
          <w:lang w:val="en-CA"/>
        </w:rPr>
        <w:t>,</w:t>
      </w:r>
      <w:r w:rsidRPr="00FB4DD8">
        <w:rPr>
          <w:rFonts w:ascii="Times New Roman" w:hAnsi="Times New Roman"/>
          <w:sz w:val="24"/>
          <w:szCs w:val="24"/>
          <w:lang w:val="en-CA"/>
        </w:rPr>
        <w:t xml:space="preserve"> there has </w:t>
      </w:r>
      <w:r w:rsidR="00A42B3F">
        <w:rPr>
          <w:rFonts w:ascii="Times New Roman" w:hAnsi="Times New Roman"/>
          <w:sz w:val="24"/>
          <w:szCs w:val="24"/>
          <w:lang w:val="en-CA"/>
        </w:rPr>
        <w:t xml:space="preserve">further </w:t>
      </w:r>
      <w:r w:rsidRPr="00FB4DD8">
        <w:rPr>
          <w:rFonts w:ascii="Times New Roman" w:hAnsi="Times New Roman"/>
          <w:sz w:val="24"/>
          <w:szCs w:val="24"/>
          <w:lang w:val="en-CA"/>
        </w:rPr>
        <w:t xml:space="preserve">been </w:t>
      </w:r>
      <w:r>
        <w:rPr>
          <w:rFonts w:ascii="Times New Roman" w:hAnsi="Times New Roman"/>
          <w:sz w:val="24"/>
          <w:szCs w:val="24"/>
          <w:lang w:val="en-CA"/>
        </w:rPr>
        <w:t xml:space="preserve">an </w:t>
      </w:r>
      <w:r w:rsidRPr="00FB4DD8">
        <w:rPr>
          <w:rFonts w:ascii="Times New Roman" w:hAnsi="Times New Roman"/>
          <w:sz w:val="24"/>
          <w:szCs w:val="24"/>
          <w:lang w:val="en-CA"/>
        </w:rPr>
        <w:t>attempt to analys</w:t>
      </w:r>
      <w:r>
        <w:rPr>
          <w:rFonts w:ascii="Times New Roman" w:hAnsi="Times New Roman"/>
          <w:sz w:val="24"/>
          <w:szCs w:val="24"/>
          <w:lang w:val="en-CA"/>
        </w:rPr>
        <w:t>e</w:t>
      </w:r>
      <w:r w:rsidRPr="00FB4DD8">
        <w:rPr>
          <w:rFonts w:ascii="Times New Roman" w:hAnsi="Times New Roman"/>
          <w:sz w:val="24"/>
          <w:szCs w:val="24"/>
          <w:lang w:val="en-CA"/>
        </w:rPr>
        <w:t xml:space="preserve"> whether there is convergence in convergence research (Heichel, Pape and Sommerer, 2005).</w:t>
      </w:r>
      <w:r w:rsidR="000675CB" w:rsidRPr="006F6A6F">
        <w:rPr>
          <w:rFonts w:ascii="Times New Roman" w:hAnsi="Times New Roman"/>
          <w:sz w:val="24"/>
          <w:szCs w:val="24"/>
          <w:lang w:val="en-CA"/>
        </w:rPr>
        <w:t xml:space="preserve"> </w:t>
      </w:r>
      <w:r w:rsidR="00202231">
        <w:rPr>
          <w:rFonts w:ascii="Times New Roman" w:hAnsi="Times New Roman"/>
          <w:sz w:val="24"/>
          <w:szCs w:val="24"/>
          <w:lang w:val="en-CA"/>
        </w:rPr>
        <w:t xml:space="preserve">There has </w:t>
      </w:r>
      <w:r w:rsidR="000675CB" w:rsidRPr="006F6A6F">
        <w:rPr>
          <w:rFonts w:ascii="Times New Roman" w:hAnsi="Times New Roman"/>
          <w:sz w:val="24"/>
          <w:szCs w:val="24"/>
          <w:lang w:val="en-CA"/>
        </w:rPr>
        <w:t>also</w:t>
      </w:r>
      <w:r w:rsidR="00202231">
        <w:rPr>
          <w:rFonts w:ascii="Times New Roman" w:hAnsi="Times New Roman"/>
          <w:sz w:val="24"/>
          <w:szCs w:val="24"/>
          <w:lang w:val="en-CA"/>
        </w:rPr>
        <w:t xml:space="preserve"> been</w:t>
      </w:r>
      <w:r w:rsidR="000675CB" w:rsidRPr="006F6A6F">
        <w:rPr>
          <w:rFonts w:ascii="Times New Roman" w:hAnsi="Times New Roman"/>
          <w:sz w:val="24"/>
          <w:szCs w:val="24"/>
          <w:lang w:val="en-CA"/>
        </w:rPr>
        <w:t xml:space="preserve"> point</w:t>
      </w:r>
      <w:r w:rsidR="00202231">
        <w:rPr>
          <w:rFonts w:ascii="Times New Roman" w:hAnsi="Times New Roman"/>
          <w:sz w:val="24"/>
          <w:szCs w:val="24"/>
          <w:lang w:val="en-CA"/>
        </w:rPr>
        <w:t>ed</w:t>
      </w:r>
      <w:r w:rsidR="000675CB" w:rsidRPr="006F6A6F">
        <w:rPr>
          <w:rFonts w:ascii="Times New Roman" w:hAnsi="Times New Roman"/>
          <w:sz w:val="24"/>
          <w:szCs w:val="24"/>
          <w:lang w:val="en-CA"/>
        </w:rPr>
        <w:t xml:space="preserve"> </w:t>
      </w:r>
      <w:r w:rsidR="00202231">
        <w:rPr>
          <w:rFonts w:ascii="Times New Roman" w:hAnsi="Times New Roman"/>
          <w:sz w:val="24"/>
          <w:szCs w:val="24"/>
          <w:lang w:val="en-CA"/>
        </w:rPr>
        <w:t xml:space="preserve">out </w:t>
      </w:r>
      <w:r w:rsidR="000675CB" w:rsidRPr="006F6A6F">
        <w:rPr>
          <w:rFonts w:ascii="Times New Roman" w:hAnsi="Times New Roman"/>
          <w:sz w:val="24"/>
          <w:szCs w:val="24"/>
          <w:lang w:val="en-CA"/>
        </w:rPr>
        <w:t xml:space="preserve">that OMC might ensure </w:t>
      </w:r>
      <w:r w:rsidR="00374556" w:rsidRPr="006F6A6F">
        <w:rPr>
          <w:rFonts w:ascii="Times New Roman" w:hAnsi="Times New Roman"/>
          <w:sz w:val="24"/>
          <w:szCs w:val="24"/>
          <w:lang w:val="en-CA"/>
        </w:rPr>
        <w:t>an</w:t>
      </w:r>
      <w:r w:rsidR="000675CB" w:rsidRPr="006F6A6F">
        <w:rPr>
          <w:rFonts w:ascii="Times New Roman" w:hAnsi="Times New Roman"/>
          <w:sz w:val="24"/>
          <w:szCs w:val="24"/>
          <w:lang w:val="en-CA"/>
        </w:rPr>
        <w:t xml:space="preserve"> Europeanization of the employed working in the different welfare states in various policy areas</w:t>
      </w:r>
      <w:r w:rsidR="00202231">
        <w:rPr>
          <w:rFonts w:ascii="Times New Roman" w:hAnsi="Times New Roman"/>
          <w:sz w:val="24"/>
          <w:szCs w:val="24"/>
          <w:lang w:val="en-CA"/>
        </w:rPr>
        <w:t xml:space="preserve"> </w:t>
      </w:r>
      <w:r w:rsidR="00202231" w:rsidRPr="00FB4DD8">
        <w:rPr>
          <w:rFonts w:ascii="Times New Roman" w:hAnsi="Times New Roman"/>
          <w:sz w:val="24"/>
          <w:szCs w:val="24"/>
          <w:lang w:val="en-CA"/>
        </w:rPr>
        <w:t>(Teague, 2001</w:t>
      </w:r>
      <w:r w:rsidR="00202231" w:rsidRPr="006F6A6F">
        <w:rPr>
          <w:rFonts w:ascii="Times New Roman" w:hAnsi="Times New Roman"/>
          <w:sz w:val="24"/>
          <w:szCs w:val="24"/>
          <w:lang w:val="en-CA"/>
        </w:rPr>
        <w:t>)</w:t>
      </w:r>
      <w:r w:rsidR="000675CB" w:rsidRPr="006F6A6F">
        <w:rPr>
          <w:rFonts w:ascii="Times New Roman" w:hAnsi="Times New Roman"/>
          <w:sz w:val="24"/>
          <w:szCs w:val="24"/>
          <w:lang w:val="en-CA"/>
        </w:rPr>
        <w:t xml:space="preserve">. However, it is also obvious that the capacity of convergence policy is lower within the OMC given the focus on bench-marking, recommendations and peer-pressure compared to situations where direct legally binding regulations </w:t>
      </w:r>
      <w:r w:rsidR="00202231">
        <w:rPr>
          <w:rFonts w:ascii="Times New Roman" w:hAnsi="Times New Roman"/>
          <w:sz w:val="24"/>
          <w:szCs w:val="24"/>
          <w:lang w:val="en-CA"/>
        </w:rPr>
        <w:t xml:space="preserve">or court decisions </w:t>
      </w:r>
      <w:r w:rsidR="000675CB" w:rsidRPr="006F6A6F">
        <w:rPr>
          <w:rFonts w:ascii="Times New Roman" w:hAnsi="Times New Roman"/>
          <w:sz w:val="24"/>
          <w:szCs w:val="24"/>
          <w:lang w:val="en-CA"/>
        </w:rPr>
        <w:t>are available (Citi and Rhodes, 2007).</w:t>
      </w:r>
      <w:r w:rsidR="00202231">
        <w:rPr>
          <w:rFonts w:ascii="Times New Roman" w:hAnsi="Times New Roman"/>
          <w:sz w:val="24"/>
          <w:szCs w:val="24"/>
          <w:lang w:val="en-CA"/>
        </w:rPr>
        <w:t xml:space="preserve"> </w:t>
      </w:r>
      <w:r w:rsidR="00A42B3F">
        <w:rPr>
          <w:rFonts w:ascii="Times New Roman" w:hAnsi="Times New Roman"/>
          <w:sz w:val="24"/>
          <w:szCs w:val="24"/>
          <w:lang w:val="en-CA"/>
        </w:rPr>
        <w:t>Still, the indication being that ther</w:t>
      </w:r>
      <w:r w:rsidR="00ED50FE">
        <w:rPr>
          <w:rFonts w:ascii="Times New Roman" w:hAnsi="Times New Roman"/>
          <w:sz w:val="24"/>
          <w:szCs w:val="24"/>
          <w:lang w:val="en-CA"/>
        </w:rPr>
        <w:t xml:space="preserve">e </w:t>
      </w:r>
      <w:r w:rsidR="00202231">
        <w:rPr>
          <w:rFonts w:ascii="Times New Roman" w:hAnsi="Times New Roman"/>
          <w:sz w:val="24"/>
          <w:szCs w:val="24"/>
          <w:lang w:val="en-CA"/>
        </w:rPr>
        <w:t>have been pressures</w:t>
      </w:r>
      <w:r w:rsidR="00ED50FE">
        <w:rPr>
          <w:rFonts w:ascii="Times New Roman" w:hAnsi="Times New Roman"/>
          <w:sz w:val="24"/>
          <w:szCs w:val="24"/>
          <w:lang w:val="en-CA"/>
        </w:rPr>
        <w:t xml:space="preserve"> from the EU towards integration also having an impact on national welfare systems</w:t>
      </w:r>
      <w:r w:rsidR="007E2811">
        <w:rPr>
          <w:rFonts w:ascii="Times New Roman" w:hAnsi="Times New Roman"/>
          <w:sz w:val="24"/>
          <w:szCs w:val="24"/>
          <w:lang w:val="en-CA"/>
        </w:rPr>
        <w:t>, and not only in relation to benefits, but also</w:t>
      </w:r>
      <w:r w:rsidR="00BD6DC4">
        <w:rPr>
          <w:rFonts w:ascii="Times New Roman" w:hAnsi="Times New Roman"/>
          <w:sz w:val="24"/>
          <w:szCs w:val="24"/>
          <w:lang w:val="en-CA"/>
        </w:rPr>
        <w:t xml:space="preserve"> services (Sindbjerg, 2012), see</w:t>
      </w:r>
      <w:r w:rsidR="007E2811">
        <w:rPr>
          <w:rFonts w:ascii="Times New Roman" w:hAnsi="Times New Roman"/>
          <w:sz w:val="24"/>
          <w:szCs w:val="24"/>
          <w:lang w:val="en-CA"/>
        </w:rPr>
        <w:t xml:space="preserve"> also section 5</w:t>
      </w:r>
      <w:r w:rsidR="00ED50FE">
        <w:rPr>
          <w:rFonts w:ascii="Times New Roman" w:hAnsi="Times New Roman"/>
          <w:sz w:val="24"/>
          <w:szCs w:val="24"/>
          <w:lang w:val="en-CA"/>
        </w:rPr>
        <w:t>.</w:t>
      </w:r>
    </w:p>
    <w:p w:rsidR="00E51ED9" w:rsidRDefault="00E51ED9" w:rsidP="00790EC0">
      <w:pPr>
        <w:spacing w:line="240" w:lineRule="auto"/>
        <w:jc w:val="both"/>
        <w:rPr>
          <w:rFonts w:ascii="Times New Roman" w:hAnsi="Times New Roman"/>
          <w:sz w:val="24"/>
          <w:szCs w:val="24"/>
          <w:lang w:val="en-CA"/>
        </w:rPr>
      </w:pPr>
      <w:r>
        <w:rPr>
          <w:rFonts w:ascii="Times New Roman" w:hAnsi="Times New Roman"/>
          <w:sz w:val="24"/>
          <w:szCs w:val="24"/>
          <w:lang w:val="en-CA"/>
        </w:rPr>
        <w:t xml:space="preserve">Overall, it thus seems that the EU has developed into a multilevel, but  highly fragmented policy system, and also a system with shared competences (Falkner, 2010), who also argues that one form of EU social policy is coordination in order to stimulate voluntary harmonization in the core field of employment policy, social assistance, pensions and education. Here the central focus is that the rules supporting co-ordination also implies that a </w:t>
      </w:r>
      <w:r>
        <w:rPr>
          <w:rFonts w:ascii="Times New Roman" w:hAnsi="Times New Roman"/>
          <w:sz w:val="24"/>
          <w:szCs w:val="24"/>
          <w:lang w:val="en-CA"/>
        </w:rPr>
        <w:lastRenderedPageBreak/>
        <w:t>specific welfare state type with universal access to benefits is increasingly difficult to withheld.</w:t>
      </w:r>
    </w:p>
    <w:p w:rsidR="00202231" w:rsidRPr="00FB4DD8" w:rsidRDefault="00202231" w:rsidP="00790EC0">
      <w:pPr>
        <w:spacing w:line="240" w:lineRule="auto"/>
        <w:jc w:val="both"/>
        <w:rPr>
          <w:rFonts w:ascii="Times New Roman" w:hAnsi="Times New Roman"/>
          <w:sz w:val="24"/>
          <w:szCs w:val="24"/>
          <w:lang w:val="en-CA"/>
        </w:rPr>
      </w:pPr>
    </w:p>
    <w:p w:rsidR="00915A58" w:rsidRPr="00FB4DD8" w:rsidRDefault="00915A58" w:rsidP="00790EC0">
      <w:pPr>
        <w:pStyle w:val="Overskrift3"/>
        <w:spacing w:line="240" w:lineRule="auto"/>
        <w:rPr>
          <w:lang w:val="en-CA"/>
        </w:rPr>
      </w:pPr>
      <w:r w:rsidRPr="00FB4DD8">
        <w:rPr>
          <w:lang w:val="en-CA"/>
        </w:rPr>
        <w:t>3 Core areas in the EU in relation to the welfare state</w:t>
      </w:r>
    </w:p>
    <w:p w:rsidR="00915A58" w:rsidRPr="00FB4DD8" w:rsidRDefault="00915A58" w:rsidP="00790EC0">
      <w:pPr>
        <w:spacing w:line="240" w:lineRule="auto"/>
        <w:rPr>
          <w:lang w:val="en-CA"/>
        </w:rPr>
      </w:pPr>
    </w:p>
    <w:p w:rsidR="00915A58" w:rsidRPr="00FB4DD8" w:rsidRDefault="00915A58" w:rsidP="00790EC0">
      <w:pPr>
        <w:spacing w:line="240" w:lineRule="auto"/>
        <w:jc w:val="both"/>
        <w:rPr>
          <w:rFonts w:ascii="Times New Roman" w:hAnsi="Times New Roman"/>
          <w:sz w:val="24"/>
          <w:szCs w:val="24"/>
          <w:lang w:val="en-CA"/>
        </w:rPr>
      </w:pPr>
      <w:r w:rsidRPr="00FB4DD8">
        <w:rPr>
          <w:rFonts w:ascii="Times New Roman" w:hAnsi="Times New Roman"/>
          <w:sz w:val="24"/>
          <w:szCs w:val="24"/>
          <w:lang w:val="en-CA"/>
        </w:rPr>
        <w:t>Historically</w:t>
      </w:r>
      <w:r>
        <w:rPr>
          <w:rFonts w:ascii="Times New Roman" w:hAnsi="Times New Roman"/>
          <w:sz w:val="24"/>
          <w:szCs w:val="24"/>
          <w:lang w:val="en-CA"/>
        </w:rPr>
        <w:t>,</w:t>
      </w:r>
      <w:r w:rsidRPr="00FB4DD8">
        <w:rPr>
          <w:rFonts w:ascii="Times New Roman" w:hAnsi="Times New Roman"/>
          <w:sz w:val="24"/>
          <w:szCs w:val="24"/>
          <w:lang w:val="en-CA"/>
        </w:rPr>
        <w:t xml:space="preserve"> the EU in principle ha</w:t>
      </w:r>
      <w:r>
        <w:rPr>
          <w:rFonts w:ascii="Times New Roman" w:hAnsi="Times New Roman"/>
          <w:sz w:val="24"/>
          <w:szCs w:val="24"/>
          <w:lang w:val="en-CA"/>
        </w:rPr>
        <w:t>s</w:t>
      </w:r>
      <w:r w:rsidRPr="00FB4DD8">
        <w:rPr>
          <w:rFonts w:ascii="Times New Roman" w:hAnsi="Times New Roman"/>
          <w:sz w:val="24"/>
          <w:szCs w:val="24"/>
          <w:lang w:val="en-CA"/>
        </w:rPr>
        <w:t xml:space="preserve"> had only limited </w:t>
      </w:r>
      <w:r w:rsidRPr="004E2E1F">
        <w:rPr>
          <w:rFonts w:ascii="Times New Roman" w:hAnsi="Times New Roman"/>
          <w:sz w:val="24"/>
          <w:szCs w:val="24"/>
          <w:lang w:val="en-CA"/>
        </w:rPr>
        <w:t xml:space="preserve">influence </w:t>
      </w:r>
      <w:r w:rsidRPr="006F6A6F">
        <w:rPr>
          <w:rFonts w:ascii="Times New Roman" w:hAnsi="Times New Roman"/>
          <w:sz w:val="24"/>
          <w:szCs w:val="24"/>
          <w:lang w:val="en-CA"/>
        </w:rPr>
        <w:t>on</w:t>
      </w:r>
      <w:r w:rsidRPr="00FB4DD8">
        <w:rPr>
          <w:rFonts w:ascii="Times New Roman" w:hAnsi="Times New Roman"/>
          <w:sz w:val="24"/>
          <w:szCs w:val="24"/>
          <w:lang w:val="en-CA"/>
        </w:rPr>
        <w:t xml:space="preserve"> the structure</w:t>
      </w:r>
      <w:r w:rsidR="00B10A75">
        <w:rPr>
          <w:rFonts w:ascii="Times New Roman" w:hAnsi="Times New Roman"/>
          <w:sz w:val="24"/>
          <w:szCs w:val="24"/>
          <w:lang w:val="en-CA"/>
        </w:rPr>
        <w:t>, financing and type</w:t>
      </w:r>
      <w:r w:rsidR="00D713DC">
        <w:rPr>
          <w:rFonts w:ascii="Times New Roman" w:hAnsi="Times New Roman"/>
          <w:sz w:val="24"/>
          <w:szCs w:val="24"/>
          <w:lang w:val="en-CA"/>
        </w:rPr>
        <w:t xml:space="preserve"> </w:t>
      </w:r>
      <w:r w:rsidRPr="00FB4DD8">
        <w:rPr>
          <w:rFonts w:ascii="Times New Roman" w:hAnsi="Times New Roman"/>
          <w:sz w:val="24"/>
          <w:szCs w:val="24"/>
          <w:lang w:val="en-CA"/>
        </w:rPr>
        <w:t xml:space="preserve">of </w:t>
      </w:r>
      <w:r>
        <w:rPr>
          <w:rFonts w:ascii="Times New Roman" w:hAnsi="Times New Roman"/>
          <w:sz w:val="24"/>
          <w:szCs w:val="24"/>
          <w:lang w:val="en-CA"/>
        </w:rPr>
        <w:t xml:space="preserve">the </w:t>
      </w:r>
      <w:r w:rsidRPr="00FB4DD8">
        <w:rPr>
          <w:rFonts w:ascii="Times New Roman" w:hAnsi="Times New Roman"/>
          <w:sz w:val="24"/>
          <w:szCs w:val="24"/>
          <w:lang w:val="en-CA"/>
        </w:rPr>
        <w:t>national welfare state</w:t>
      </w:r>
      <w:r w:rsidR="00B10A75">
        <w:rPr>
          <w:rFonts w:ascii="Times New Roman" w:hAnsi="Times New Roman"/>
          <w:sz w:val="24"/>
          <w:szCs w:val="24"/>
          <w:lang w:val="en-CA"/>
        </w:rPr>
        <w:t>s</w:t>
      </w:r>
      <w:r w:rsidRPr="00FB4DD8">
        <w:rPr>
          <w:rFonts w:ascii="Times New Roman" w:hAnsi="Times New Roman"/>
          <w:sz w:val="24"/>
          <w:szCs w:val="24"/>
          <w:lang w:val="en-CA"/>
        </w:rPr>
        <w:t xml:space="preserve">. </w:t>
      </w:r>
      <w:r>
        <w:rPr>
          <w:rFonts w:ascii="Times New Roman" w:hAnsi="Times New Roman"/>
          <w:sz w:val="24"/>
          <w:szCs w:val="24"/>
          <w:lang w:val="en-CA"/>
        </w:rPr>
        <w:t>T</w:t>
      </w:r>
      <w:r w:rsidRPr="00FB4DD8">
        <w:rPr>
          <w:rFonts w:ascii="Times New Roman" w:hAnsi="Times New Roman"/>
          <w:sz w:val="24"/>
          <w:szCs w:val="24"/>
          <w:lang w:val="en-CA"/>
        </w:rPr>
        <w:t>he</w:t>
      </w:r>
      <w:r w:rsidR="00B10A75">
        <w:rPr>
          <w:rFonts w:ascii="Times New Roman" w:hAnsi="Times New Roman"/>
          <w:sz w:val="24"/>
          <w:szCs w:val="24"/>
          <w:lang w:val="en-CA"/>
        </w:rPr>
        <w:t xml:space="preserve"> increasing</w:t>
      </w:r>
      <w:r w:rsidRPr="00FB4DD8">
        <w:rPr>
          <w:rFonts w:ascii="Times New Roman" w:hAnsi="Times New Roman"/>
          <w:sz w:val="24"/>
          <w:szCs w:val="24"/>
          <w:lang w:val="en-CA"/>
        </w:rPr>
        <w:t xml:space="preserve"> demand for fiscal prudence</w:t>
      </w:r>
      <w:r w:rsidR="00B10A75">
        <w:rPr>
          <w:rFonts w:ascii="Times New Roman" w:hAnsi="Times New Roman"/>
          <w:sz w:val="24"/>
          <w:szCs w:val="24"/>
          <w:lang w:val="en-CA"/>
        </w:rPr>
        <w:t>, especially within the EMU,</w:t>
      </w:r>
      <w:r w:rsidR="002A0CDE">
        <w:rPr>
          <w:rFonts w:ascii="Times New Roman" w:hAnsi="Times New Roman"/>
          <w:sz w:val="24"/>
          <w:szCs w:val="24"/>
          <w:lang w:val="en-CA"/>
        </w:rPr>
        <w:t xml:space="preserve"> can</w:t>
      </w:r>
      <w:r w:rsidRPr="00FB4DD8">
        <w:rPr>
          <w:rFonts w:ascii="Times New Roman" w:hAnsi="Times New Roman"/>
          <w:sz w:val="24"/>
          <w:szCs w:val="24"/>
          <w:lang w:val="en-CA"/>
        </w:rPr>
        <w:t xml:space="preserve"> influence the options available</w:t>
      </w:r>
      <w:r w:rsidR="00202231">
        <w:rPr>
          <w:rFonts w:ascii="Times New Roman" w:hAnsi="Times New Roman"/>
          <w:sz w:val="24"/>
          <w:szCs w:val="24"/>
          <w:lang w:val="en-CA"/>
        </w:rPr>
        <w:t xml:space="preserve"> for nation states</w:t>
      </w:r>
      <w:r w:rsidR="00B10A75">
        <w:rPr>
          <w:rFonts w:ascii="Times New Roman" w:hAnsi="Times New Roman"/>
          <w:sz w:val="24"/>
          <w:szCs w:val="24"/>
          <w:lang w:val="en-CA"/>
        </w:rPr>
        <w:t>.</w:t>
      </w:r>
      <w:r w:rsidR="00D713DC">
        <w:rPr>
          <w:rFonts w:ascii="Times New Roman" w:hAnsi="Times New Roman"/>
          <w:sz w:val="24"/>
          <w:szCs w:val="24"/>
          <w:lang w:val="en-CA"/>
        </w:rPr>
        <w:t xml:space="preserve"> </w:t>
      </w:r>
      <w:r w:rsidR="00B10A75">
        <w:rPr>
          <w:rFonts w:ascii="Times New Roman" w:hAnsi="Times New Roman"/>
          <w:sz w:val="24"/>
          <w:szCs w:val="24"/>
          <w:lang w:val="en-CA"/>
        </w:rPr>
        <w:t>T</w:t>
      </w:r>
      <w:r w:rsidRPr="00FB4DD8">
        <w:rPr>
          <w:rFonts w:ascii="Times New Roman" w:hAnsi="Times New Roman"/>
          <w:sz w:val="24"/>
          <w:szCs w:val="24"/>
          <w:lang w:val="en-CA"/>
        </w:rPr>
        <w:t>he possible impact ste</w:t>
      </w:r>
      <w:r>
        <w:rPr>
          <w:rFonts w:ascii="Times New Roman" w:hAnsi="Times New Roman"/>
          <w:sz w:val="24"/>
          <w:szCs w:val="24"/>
          <w:lang w:val="en-CA"/>
        </w:rPr>
        <w:t>m</w:t>
      </w:r>
      <w:r w:rsidRPr="00FB4DD8">
        <w:rPr>
          <w:rFonts w:ascii="Times New Roman" w:hAnsi="Times New Roman"/>
          <w:sz w:val="24"/>
          <w:szCs w:val="24"/>
          <w:lang w:val="en-CA"/>
        </w:rPr>
        <w:t xml:space="preserve">ming from </w:t>
      </w:r>
      <w:r>
        <w:rPr>
          <w:rFonts w:ascii="Times New Roman" w:hAnsi="Times New Roman"/>
          <w:sz w:val="24"/>
          <w:szCs w:val="24"/>
          <w:lang w:val="en-CA"/>
        </w:rPr>
        <w:t xml:space="preserve">the </w:t>
      </w:r>
      <w:r w:rsidR="00B10A75">
        <w:rPr>
          <w:rFonts w:ascii="Times New Roman" w:hAnsi="Times New Roman"/>
          <w:sz w:val="24"/>
          <w:szCs w:val="24"/>
          <w:lang w:val="en-CA"/>
        </w:rPr>
        <w:t xml:space="preserve">EU’s understanding of and </w:t>
      </w:r>
      <w:r w:rsidRPr="00FB4DD8">
        <w:rPr>
          <w:rFonts w:ascii="Times New Roman" w:hAnsi="Times New Roman"/>
          <w:sz w:val="24"/>
          <w:szCs w:val="24"/>
          <w:lang w:val="en-CA"/>
        </w:rPr>
        <w:t xml:space="preserve">use of the European structural fund and pressure for taking specific actions </w:t>
      </w:r>
      <w:r w:rsidR="00B10A75">
        <w:rPr>
          <w:rFonts w:ascii="Times New Roman" w:hAnsi="Times New Roman"/>
          <w:sz w:val="24"/>
          <w:szCs w:val="24"/>
          <w:lang w:val="en-CA"/>
        </w:rPr>
        <w:t>in relation herewith</w:t>
      </w:r>
      <w:r>
        <w:rPr>
          <w:rFonts w:ascii="Times New Roman" w:hAnsi="Times New Roman"/>
          <w:sz w:val="24"/>
          <w:szCs w:val="24"/>
          <w:lang w:val="en-CA"/>
        </w:rPr>
        <w:t xml:space="preserve"> (e.g. for a </w:t>
      </w:r>
      <w:r w:rsidRPr="00FB4DD8">
        <w:rPr>
          <w:rFonts w:ascii="Times New Roman" w:hAnsi="Times New Roman"/>
          <w:sz w:val="24"/>
          <w:szCs w:val="24"/>
          <w:lang w:val="en-CA"/>
        </w:rPr>
        <w:t xml:space="preserve">possible </w:t>
      </w:r>
      <w:r>
        <w:rPr>
          <w:rFonts w:ascii="Times New Roman" w:hAnsi="Times New Roman"/>
          <w:sz w:val="24"/>
          <w:szCs w:val="24"/>
          <w:lang w:val="en-CA"/>
        </w:rPr>
        <w:t>scenario</w:t>
      </w:r>
      <w:r w:rsidRPr="00FB4DD8">
        <w:rPr>
          <w:rFonts w:ascii="Times New Roman" w:hAnsi="Times New Roman"/>
          <w:sz w:val="24"/>
          <w:szCs w:val="24"/>
          <w:lang w:val="en-CA"/>
        </w:rPr>
        <w:t xml:space="preserve"> cf. Verschraegen et.al. (2011) for </w:t>
      </w:r>
      <w:r>
        <w:rPr>
          <w:rFonts w:ascii="Times New Roman" w:hAnsi="Times New Roman"/>
          <w:sz w:val="24"/>
          <w:szCs w:val="24"/>
          <w:lang w:val="en-CA"/>
        </w:rPr>
        <w:t xml:space="preserve">the </w:t>
      </w:r>
      <w:r w:rsidRPr="00FB4DD8">
        <w:rPr>
          <w:rFonts w:ascii="Times New Roman" w:hAnsi="Times New Roman"/>
          <w:sz w:val="24"/>
          <w:szCs w:val="24"/>
          <w:lang w:val="en-CA"/>
        </w:rPr>
        <w:t>impact on activation in Belgium</w:t>
      </w:r>
      <w:r>
        <w:rPr>
          <w:rFonts w:ascii="Times New Roman" w:hAnsi="Times New Roman"/>
          <w:sz w:val="24"/>
          <w:szCs w:val="24"/>
          <w:lang w:val="en-CA"/>
        </w:rPr>
        <w:t>)</w:t>
      </w:r>
      <w:r w:rsidR="00202231">
        <w:rPr>
          <w:rFonts w:ascii="Times New Roman" w:hAnsi="Times New Roman"/>
          <w:sz w:val="24"/>
          <w:szCs w:val="24"/>
          <w:lang w:val="en-CA"/>
        </w:rPr>
        <w:t xml:space="preserve"> also have an impact</w:t>
      </w:r>
      <w:r>
        <w:rPr>
          <w:rFonts w:ascii="Times New Roman" w:hAnsi="Times New Roman"/>
          <w:sz w:val="24"/>
          <w:szCs w:val="24"/>
          <w:lang w:val="en-CA"/>
        </w:rPr>
        <w:t>.</w:t>
      </w:r>
    </w:p>
    <w:p w:rsidR="00650769" w:rsidRDefault="00915A58" w:rsidP="00790EC0">
      <w:pPr>
        <w:spacing w:line="240" w:lineRule="auto"/>
        <w:jc w:val="both"/>
        <w:rPr>
          <w:rFonts w:ascii="Times New Roman" w:hAnsi="Times New Roman"/>
          <w:sz w:val="24"/>
          <w:szCs w:val="24"/>
          <w:lang w:val="en-CA"/>
        </w:rPr>
      </w:pPr>
      <w:r>
        <w:rPr>
          <w:rFonts w:ascii="Times New Roman" w:hAnsi="Times New Roman"/>
          <w:sz w:val="24"/>
          <w:szCs w:val="24"/>
          <w:lang w:val="en-CA"/>
        </w:rPr>
        <w:t xml:space="preserve">From </w:t>
      </w:r>
      <w:r w:rsidRPr="00FB4DD8">
        <w:rPr>
          <w:rFonts w:ascii="Times New Roman" w:hAnsi="Times New Roman"/>
          <w:sz w:val="24"/>
          <w:szCs w:val="24"/>
          <w:lang w:val="en-CA"/>
        </w:rPr>
        <w:t>the early days</w:t>
      </w:r>
      <w:r>
        <w:rPr>
          <w:rFonts w:ascii="Times New Roman" w:hAnsi="Times New Roman"/>
          <w:sz w:val="24"/>
          <w:szCs w:val="24"/>
          <w:lang w:val="en-CA"/>
        </w:rPr>
        <w:t xml:space="preserve"> till the present</w:t>
      </w:r>
      <w:r w:rsidRPr="00FB4DD8">
        <w:rPr>
          <w:rFonts w:ascii="Times New Roman" w:hAnsi="Times New Roman"/>
          <w:sz w:val="24"/>
          <w:szCs w:val="24"/>
          <w:lang w:val="en-CA"/>
        </w:rPr>
        <w:t xml:space="preserve">, the core influence </w:t>
      </w:r>
      <w:r>
        <w:rPr>
          <w:rFonts w:ascii="Times New Roman" w:hAnsi="Times New Roman"/>
          <w:sz w:val="24"/>
          <w:szCs w:val="24"/>
          <w:lang w:val="en-CA"/>
        </w:rPr>
        <w:t>of</w:t>
      </w:r>
      <w:r w:rsidRPr="00FB4DD8">
        <w:rPr>
          <w:rFonts w:ascii="Times New Roman" w:hAnsi="Times New Roman"/>
          <w:sz w:val="24"/>
          <w:szCs w:val="24"/>
          <w:lang w:val="en-CA"/>
        </w:rPr>
        <w:t xml:space="preserve"> the EU </w:t>
      </w:r>
      <w:r>
        <w:rPr>
          <w:rFonts w:ascii="Times New Roman" w:hAnsi="Times New Roman"/>
          <w:sz w:val="24"/>
          <w:szCs w:val="24"/>
          <w:lang w:val="en-CA"/>
        </w:rPr>
        <w:t>has been</w:t>
      </w:r>
      <w:r w:rsidRPr="00FB4DD8">
        <w:rPr>
          <w:rFonts w:ascii="Times New Roman" w:hAnsi="Times New Roman"/>
          <w:sz w:val="24"/>
          <w:szCs w:val="24"/>
          <w:lang w:val="en-CA"/>
        </w:rPr>
        <w:t xml:space="preserve"> related to the free- movement of workers. Rules were laid down with the now </w:t>
      </w:r>
      <w:r w:rsidR="004E2E1F">
        <w:rPr>
          <w:rFonts w:ascii="Times New Roman" w:hAnsi="Times New Roman"/>
          <w:sz w:val="24"/>
          <w:szCs w:val="24"/>
          <w:lang w:val="en-CA"/>
        </w:rPr>
        <w:t xml:space="preserve">changed </w:t>
      </w:r>
      <w:r>
        <w:rPr>
          <w:rFonts w:ascii="Times New Roman" w:hAnsi="Times New Roman"/>
          <w:sz w:val="24"/>
          <w:szCs w:val="24"/>
          <w:lang w:val="en-CA"/>
        </w:rPr>
        <w:t>D</w:t>
      </w:r>
      <w:r w:rsidRPr="00FB4DD8">
        <w:rPr>
          <w:rFonts w:ascii="Times New Roman" w:hAnsi="Times New Roman"/>
          <w:sz w:val="24"/>
          <w:szCs w:val="24"/>
          <w:lang w:val="en-CA"/>
        </w:rPr>
        <w:t>irective 1408/71 (</w:t>
      </w:r>
      <w:r>
        <w:rPr>
          <w:rFonts w:ascii="Times New Roman" w:hAnsi="Times New Roman"/>
          <w:sz w:val="24"/>
          <w:szCs w:val="24"/>
          <w:lang w:val="en-CA"/>
        </w:rPr>
        <w:t>R</w:t>
      </w:r>
      <w:r w:rsidRPr="00FB4DD8">
        <w:rPr>
          <w:rFonts w:ascii="Times New Roman" w:hAnsi="Times New Roman"/>
          <w:sz w:val="24"/>
          <w:szCs w:val="24"/>
          <w:lang w:val="en-CA"/>
        </w:rPr>
        <w:t xml:space="preserve">egulation 883/2004) as the core instrument </w:t>
      </w:r>
      <w:r>
        <w:rPr>
          <w:rFonts w:ascii="Times New Roman" w:hAnsi="Times New Roman"/>
          <w:sz w:val="24"/>
          <w:szCs w:val="24"/>
          <w:lang w:val="en-CA"/>
        </w:rPr>
        <w:t>for</w:t>
      </w:r>
      <w:r w:rsidRPr="00FB4DD8">
        <w:rPr>
          <w:rFonts w:ascii="Times New Roman" w:hAnsi="Times New Roman"/>
          <w:sz w:val="24"/>
          <w:szCs w:val="24"/>
          <w:lang w:val="en-CA"/>
        </w:rPr>
        <w:t xml:space="preserve"> ensur</w:t>
      </w:r>
      <w:r>
        <w:rPr>
          <w:rFonts w:ascii="Times New Roman" w:hAnsi="Times New Roman"/>
          <w:sz w:val="24"/>
          <w:szCs w:val="24"/>
          <w:lang w:val="en-CA"/>
        </w:rPr>
        <w:t>ing</w:t>
      </w:r>
      <w:r w:rsidRPr="00FB4DD8">
        <w:rPr>
          <w:rFonts w:ascii="Times New Roman" w:hAnsi="Times New Roman"/>
          <w:sz w:val="24"/>
          <w:szCs w:val="24"/>
          <w:lang w:val="en-CA"/>
        </w:rPr>
        <w:t xml:space="preserve"> </w:t>
      </w:r>
      <w:r>
        <w:rPr>
          <w:rFonts w:ascii="Times New Roman" w:hAnsi="Times New Roman"/>
          <w:sz w:val="24"/>
          <w:szCs w:val="24"/>
          <w:lang w:val="en-CA"/>
        </w:rPr>
        <w:t xml:space="preserve">the </w:t>
      </w:r>
      <w:r w:rsidRPr="00FB4DD8">
        <w:rPr>
          <w:rFonts w:ascii="Times New Roman" w:hAnsi="Times New Roman"/>
          <w:sz w:val="24"/>
          <w:szCs w:val="24"/>
          <w:lang w:val="en-CA"/>
        </w:rPr>
        <w:t>easy free-movement of workers</w:t>
      </w:r>
      <w:r w:rsidR="00593E8F">
        <w:rPr>
          <w:rFonts w:ascii="Times New Roman" w:hAnsi="Times New Roman"/>
          <w:sz w:val="24"/>
          <w:szCs w:val="24"/>
          <w:lang w:val="en-CA"/>
        </w:rPr>
        <w:t>.</w:t>
      </w:r>
      <w:r w:rsidRPr="00FB4DD8">
        <w:rPr>
          <w:rFonts w:ascii="Times New Roman" w:hAnsi="Times New Roman"/>
          <w:sz w:val="24"/>
          <w:szCs w:val="24"/>
          <w:lang w:val="en-CA"/>
        </w:rPr>
        <w:t xml:space="preserve"> </w:t>
      </w:r>
      <w:r w:rsidR="002A0CDE">
        <w:rPr>
          <w:rFonts w:ascii="Times New Roman" w:hAnsi="Times New Roman"/>
          <w:sz w:val="24"/>
          <w:szCs w:val="24"/>
          <w:lang w:val="en-CA"/>
        </w:rPr>
        <w:t>The</w:t>
      </w:r>
      <w:r w:rsidRPr="00FB4DD8">
        <w:rPr>
          <w:rFonts w:ascii="Times New Roman" w:hAnsi="Times New Roman"/>
          <w:sz w:val="24"/>
          <w:szCs w:val="24"/>
          <w:lang w:val="en-CA"/>
        </w:rPr>
        <w:t xml:space="preserve"> </w:t>
      </w:r>
      <w:r w:rsidRPr="004E2E1F">
        <w:rPr>
          <w:rFonts w:ascii="Times New Roman" w:hAnsi="Times New Roman"/>
          <w:sz w:val="24"/>
          <w:szCs w:val="24"/>
          <w:lang w:val="en-CA"/>
        </w:rPr>
        <w:t xml:space="preserve">regulation </w:t>
      </w:r>
      <w:r w:rsidRPr="006F6A6F">
        <w:rPr>
          <w:rFonts w:ascii="Times New Roman" w:hAnsi="Times New Roman"/>
          <w:sz w:val="24"/>
          <w:szCs w:val="24"/>
          <w:lang w:val="en-CA"/>
        </w:rPr>
        <w:t xml:space="preserve">originally covered employed and self-employed people, but was later broadened with </w:t>
      </w:r>
      <w:r w:rsidR="004E2E1F" w:rsidRPr="006F6A6F">
        <w:rPr>
          <w:rFonts w:ascii="Times New Roman" w:hAnsi="Times New Roman"/>
          <w:sz w:val="24"/>
          <w:szCs w:val="24"/>
          <w:lang w:val="en-CA"/>
        </w:rPr>
        <w:t>Regulation</w:t>
      </w:r>
      <w:r w:rsidRPr="00FB4DD8">
        <w:rPr>
          <w:rFonts w:ascii="Times New Roman" w:hAnsi="Times New Roman"/>
          <w:sz w:val="24"/>
          <w:szCs w:val="24"/>
          <w:lang w:val="en-CA"/>
        </w:rPr>
        <w:t xml:space="preserve"> 883/2004 so that all </w:t>
      </w:r>
      <w:r>
        <w:rPr>
          <w:rFonts w:ascii="Times New Roman" w:hAnsi="Times New Roman"/>
          <w:sz w:val="24"/>
          <w:szCs w:val="24"/>
          <w:lang w:val="en-CA"/>
        </w:rPr>
        <w:t xml:space="preserve">those </w:t>
      </w:r>
      <w:r w:rsidRPr="00FB4DD8">
        <w:rPr>
          <w:rFonts w:ascii="Times New Roman" w:hAnsi="Times New Roman"/>
          <w:sz w:val="24"/>
          <w:szCs w:val="24"/>
          <w:lang w:val="en-CA"/>
        </w:rPr>
        <w:t>“who are or have been subject for the legislation of one or more Member States” are covered (Pennings, 2009, p. 6).</w:t>
      </w:r>
      <w:r w:rsidR="00650769">
        <w:rPr>
          <w:rFonts w:ascii="Times New Roman" w:hAnsi="Times New Roman"/>
          <w:sz w:val="24"/>
          <w:szCs w:val="24"/>
          <w:lang w:val="en-CA"/>
        </w:rPr>
        <w:t xml:space="preserve"> I</w:t>
      </w:r>
      <w:r w:rsidR="00650769" w:rsidRPr="00FB4DD8">
        <w:rPr>
          <w:rFonts w:ascii="Times New Roman" w:hAnsi="Times New Roman"/>
          <w:sz w:val="24"/>
          <w:szCs w:val="24"/>
          <w:lang w:val="en-CA"/>
        </w:rPr>
        <w:t xml:space="preserve">n combination with </w:t>
      </w:r>
      <w:r w:rsidR="00650769">
        <w:rPr>
          <w:rFonts w:ascii="Times New Roman" w:hAnsi="Times New Roman"/>
          <w:sz w:val="24"/>
          <w:szCs w:val="24"/>
          <w:lang w:val="en-CA"/>
        </w:rPr>
        <w:t xml:space="preserve">the </w:t>
      </w:r>
      <w:r w:rsidR="00650769" w:rsidRPr="00FB4DD8">
        <w:rPr>
          <w:rFonts w:ascii="Times New Roman" w:hAnsi="Times New Roman"/>
          <w:sz w:val="24"/>
          <w:szCs w:val="24"/>
          <w:lang w:val="en-CA"/>
        </w:rPr>
        <w:t xml:space="preserve">case law </w:t>
      </w:r>
      <w:r w:rsidR="00650769">
        <w:rPr>
          <w:rFonts w:ascii="Times New Roman" w:hAnsi="Times New Roman"/>
          <w:sz w:val="24"/>
          <w:szCs w:val="24"/>
          <w:lang w:val="en-CA"/>
        </w:rPr>
        <w:t>of</w:t>
      </w:r>
      <w:r w:rsidR="00650769" w:rsidRPr="00FB4DD8">
        <w:rPr>
          <w:rFonts w:ascii="Times New Roman" w:hAnsi="Times New Roman"/>
          <w:sz w:val="24"/>
          <w:szCs w:val="24"/>
          <w:lang w:val="en-CA"/>
        </w:rPr>
        <w:t xml:space="preserve"> the European court</w:t>
      </w:r>
      <w:r w:rsidR="00650769">
        <w:rPr>
          <w:rFonts w:ascii="Times New Roman" w:hAnsi="Times New Roman"/>
          <w:sz w:val="24"/>
          <w:szCs w:val="24"/>
          <w:lang w:val="en-CA"/>
        </w:rPr>
        <w:t xml:space="preserve"> and combined with the increased</w:t>
      </w:r>
      <w:r w:rsidR="00650769" w:rsidRPr="00FB4DD8">
        <w:rPr>
          <w:rFonts w:ascii="Times New Roman" w:hAnsi="Times New Roman"/>
          <w:sz w:val="24"/>
          <w:szCs w:val="24"/>
          <w:lang w:val="en-CA"/>
        </w:rPr>
        <w:t xml:space="preserve"> </w:t>
      </w:r>
      <w:r w:rsidR="00650769" w:rsidRPr="006F6A6F">
        <w:rPr>
          <w:rFonts w:ascii="Times New Roman" w:hAnsi="Times New Roman"/>
          <w:sz w:val="24"/>
          <w:szCs w:val="24"/>
          <w:lang w:val="en-CA"/>
        </w:rPr>
        <w:t>internal</w:t>
      </w:r>
      <w:r w:rsidR="00650769" w:rsidRPr="004E2E1F">
        <w:rPr>
          <w:rFonts w:ascii="Times New Roman" w:hAnsi="Times New Roman"/>
          <w:sz w:val="24"/>
          <w:szCs w:val="24"/>
          <w:lang w:val="en-CA"/>
        </w:rPr>
        <w:t xml:space="preserve"> migration </w:t>
      </w:r>
      <w:r w:rsidR="00650769" w:rsidRPr="006F6A6F">
        <w:rPr>
          <w:rFonts w:ascii="Times New Roman" w:hAnsi="Times New Roman"/>
          <w:sz w:val="24"/>
          <w:szCs w:val="24"/>
          <w:lang w:val="en-CA"/>
        </w:rPr>
        <w:t>(within the EU</w:t>
      </w:r>
      <w:r w:rsidR="00650769">
        <w:rPr>
          <w:rFonts w:ascii="Times New Roman" w:hAnsi="Times New Roman"/>
          <w:sz w:val="24"/>
          <w:szCs w:val="24"/>
          <w:lang w:val="en-CA"/>
        </w:rPr>
        <w:t>)</w:t>
      </w:r>
      <w:r w:rsidR="00650769" w:rsidRPr="006F6A6F">
        <w:rPr>
          <w:rFonts w:ascii="Times New Roman" w:hAnsi="Times New Roman"/>
          <w:sz w:val="24"/>
          <w:szCs w:val="24"/>
          <w:lang w:val="en-CA"/>
        </w:rPr>
        <w:t>,</w:t>
      </w:r>
      <w:r w:rsidR="00650769" w:rsidRPr="004E2E1F">
        <w:rPr>
          <w:rFonts w:ascii="Times New Roman" w:hAnsi="Times New Roman"/>
          <w:sz w:val="24"/>
          <w:szCs w:val="24"/>
          <w:lang w:val="en-CA"/>
        </w:rPr>
        <w:t xml:space="preserve"> especially in the wake of </w:t>
      </w:r>
      <w:r w:rsidR="00650769" w:rsidRPr="006F6A6F">
        <w:rPr>
          <w:rFonts w:ascii="Times New Roman" w:hAnsi="Times New Roman"/>
          <w:sz w:val="24"/>
          <w:szCs w:val="24"/>
          <w:lang w:val="en-CA"/>
        </w:rPr>
        <w:t>EU</w:t>
      </w:r>
      <w:r w:rsidR="00650769" w:rsidRPr="004E2E1F">
        <w:rPr>
          <w:rFonts w:ascii="Times New Roman" w:hAnsi="Times New Roman"/>
          <w:sz w:val="24"/>
          <w:szCs w:val="24"/>
          <w:lang w:val="en-CA"/>
        </w:rPr>
        <w:t xml:space="preserve"> enlargement</w:t>
      </w:r>
      <w:r w:rsidR="00650769" w:rsidRPr="00FB4DD8">
        <w:rPr>
          <w:rFonts w:ascii="Times New Roman" w:hAnsi="Times New Roman"/>
          <w:sz w:val="24"/>
          <w:szCs w:val="24"/>
          <w:lang w:val="en-CA"/>
        </w:rPr>
        <w:t xml:space="preserve"> </w:t>
      </w:r>
      <w:r w:rsidR="002826AB">
        <w:rPr>
          <w:rFonts w:ascii="Times New Roman" w:hAnsi="Times New Roman"/>
          <w:sz w:val="24"/>
          <w:szCs w:val="24"/>
          <w:lang w:val="en-CA"/>
        </w:rPr>
        <w:t xml:space="preserve">from 2004 </w:t>
      </w:r>
      <w:r w:rsidR="00650769" w:rsidRPr="00FB4DD8">
        <w:rPr>
          <w:rFonts w:ascii="Times New Roman" w:hAnsi="Times New Roman"/>
          <w:sz w:val="24"/>
          <w:szCs w:val="24"/>
          <w:lang w:val="en-CA"/>
        </w:rPr>
        <w:t xml:space="preserve">and </w:t>
      </w:r>
      <w:r w:rsidR="00650769">
        <w:rPr>
          <w:rFonts w:ascii="Times New Roman" w:hAnsi="Times New Roman"/>
          <w:sz w:val="24"/>
          <w:szCs w:val="24"/>
          <w:lang w:val="en-CA"/>
        </w:rPr>
        <w:t xml:space="preserve">the </w:t>
      </w:r>
      <w:r w:rsidR="00650769" w:rsidRPr="00FB4DD8">
        <w:rPr>
          <w:rFonts w:ascii="Times New Roman" w:hAnsi="Times New Roman"/>
          <w:sz w:val="24"/>
          <w:szCs w:val="24"/>
          <w:lang w:val="en-CA"/>
        </w:rPr>
        <w:t>fiscal crisis</w:t>
      </w:r>
      <w:r w:rsidR="002826AB">
        <w:rPr>
          <w:rFonts w:ascii="Times New Roman" w:hAnsi="Times New Roman"/>
          <w:sz w:val="24"/>
          <w:szCs w:val="24"/>
          <w:lang w:val="en-CA"/>
        </w:rPr>
        <w:t xml:space="preserve"> since 2008</w:t>
      </w:r>
      <w:r w:rsidR="00650769">
        <w:rPr>
          <w:rFonts w:ascii="Times New Roman" w:hAnsi="Times New Roman"/>
          <w:sz w:val="24"/>
          <w:szCs w:val="24"/>
          <w:lang w:val="en-CA"/>
        </w:rPr>
        <w:t>, has</w:t>
      </w:r>
      <w:r w:rsidR="00BA0C3A">
        <w:rPr>
          <w:rFonts w:ascii="Times New Roman" w:hAnsi="Times New Roman"/>
          <w:sz w:val="24"/>
          <w:szCs w:val="24"/>
          <w:lang w:val="en-CA"/>
        </w:rPr>
        <w:t xml:space="preserve"> increased</w:t>
      </w:r>
      <w:r w:rsidR="00650769">
        <w:rPr>
          <w:rFonts w:ascii="Times New Roman" w:hAnsi="Times New Roman"/>
          <w:sz w:val="24"/>
          <w:szCs w:val="24"/>
          <w:lang w:val="en-CA"/>
        </w:rPr>
        <w:t xml:space="preserve"> the possible pressure on universal welfare states.</w:t>
      </w:r>
    </w:p>
    <w:p w:rsidR="00915A58" w:rsidRPr="00FB4DD8" w:rsidRDefault="00915A58" w:rsidP="00790EC0">
      <w:pPr>
        <w:spacing w:line="240" w:lineRule="auto"/>
        <w:jc w:val="both"/>
        <w:rPr>
          <w:rFonts w:ascii="Times New Roman" w:hAnsi="Times New Roman"/>
          <w:sz w:val="24"/>
          <w:szCs w:val="24"/>
          <w:lang w:val="en-CA"/>
        </w:rPr>
      </w:pPr>
      <w:r w:rsidRPr="00FB4DD8">
        <w:rPr>
          <w:rFonts w:ascii="Times New Roman" w:hAnsi="Times New Roman"/>
          <w:sz w:val="24"/>
          <w:szCs w:val="24"/>
          <w:lang w:val="en-CA"/>
        </w:rPr>
        <w:t xml:space="preserve">The general idea </w:t>
      </w:r>
      <w:r w:rsidR="00650769">
        <w:rPr>
          <w:rFonts w:ascii="Times New Roman" w:hAnsi="Times New Roman"/>
          <w:sz w:val="24"/>
          <w:szCs w:val="24"/>
          <w:lang w:val="en-CA"/>
        </w:rPr>
        <w:t xml:space="preserve">behind free-movement </w:t>
      </w:r>
      <w:r w:rsidRPr="00FB4DD8">
        <w:rPr>
          <w:rFonts w:ascii="Times New Roman" w:hAnsi="Times New Roman"/>
          <w:sz w:val="24"/>
          <w:szCs w:val="24"/>
          <w:lang w:val="en-CA"/>
        </w:rPr>
        <w:t>was that if a worker moved from one country to another</w:t>
      </w:r>
      <w:r>
        <w:rPr>
          <w:rFonts w:ascii="Times New Roman" w:hAnsi="Times New Roman"/>
          <w:sz w:val="24"/>
          <w:szCs w:val="24"/>
          <w:lang w:val="en-CA"/>
        </w:rPr>
        <w:t>,</w:t>
      </w:r>
      <w:r w:rsidRPr="00FB4DD8">
        <w:rPr>
          <w:rFonts w:ascii="Times New Roman" w:hAnsi="Times New Roman"/>
          <w:sz w:val="24"/>
          <w:szCs w:val="24"/>
          <w:lang w:val="en-CA"/>
        </w:rPr>
        <w:t xml:space="preserve"> the rules should not be a hindrance, but instead should support the free movement. </w:t>
      </w:r>
      <w:r>
        <w:rPr>
          <w:rFonts w:ascii="Times New Roman" w:hAnsi="Times New Roman"/>
          <w:sz w:val="24"/>
          <w:szCs w:val="24"/>
          <w:lang w:val="en-CA"/>
        </w:rPr>
        <w:t>For example, t</w:t>
      </w:r>
      <w:r w:rsidRPr="00FB4DD8">
        <w:rPr>
          <w:rFonts w:ascii="Times New Roman" w:hAnsi="Times New Roman"/>
          <w:sz w:val="24"/>
          <w:szCs w:val="24"/>
          <w:lang w:val="en-CA"/>
        </w:rPr>
        <w:t xml:space="preserve">his should make it possible to combine </w:t>
      </w:r>
      <w:r>
        <w:rPr>
          <w:rFonts w:ascii="Times New Roman" w:hAnsi="Times New Roman"/>
          <w:sz w:val="24"/>
          <w:szCs w:val="24"/>
          <w:lang w:val="en-CA"/>
        </w:rPr>
        <w:t xml:space="preserve">the </w:t>
      </w:r>
      <w:r w:rsidRPr="00FB4DD8">
        <w:rPr>
          <w:rFonts w:ascii="Times New Roman" w:hAnsi="Times New Roman"/>
          <w:sz w:val="24"/>
          <w:szCs w:val="24"/>
          <w:lang w:val="en-CA"/>
        </w:rPr>
        <w:t>earned right to pensions from different countries</w:t>
      </w:r>
      <w:r>
        <w:rPr>
          <w:rFonts w:ascii="Times New Roman" w:hAnsi="Times New Roman"/>
          <w:sz w:val="24"/>
          <w:szCs w:val="24"/>
          <w:lang w:val="en-CA"/>
        </w:rPr>
        <w:t>;</w:t>
      </w:r>
      <w:r w:rsidRPr="00FB4DD8">
        <w:rPr>
          <w:rFonts w:ascii="Times New Roman" w:hAnsi="Times New Roman"/>
          <w:sz w:val="24"/>
          <w:szCs w:val="24"/>
          <w:lang w:val="en-CA"/>
        </w:rPr>
        <w:t xml:space="preserve"> the right to welfare benefits should also be given to workers</w:t>
      </w:r>
      <w:r>
        <w:rPr>
          <w:rFonts w:ascii="Times New Roman" w:hAnsi="Times New Roman"/>
          <w:sz w:val="24"/>
          <w:szCs w:val="24"/>
          <w:lang w:val="en-CA"/>
        </w:rPr>
        <w:t>;</w:t>
      </w:r>
      <w:r w:rsidRPr="00FB4DD8">
        <w:rPr>
          <w:rFonts w:ascii="Times New Roman" w:hAnsi="Times New Roman"/>
          <w:sz w:val="24"/>
          <w:szCs w:val="24"/>
          <w:lang w:val="en-CA"/>
        </w:rPr>
        <w:t xml:space="preserve"> child benefits </w:t>
      </w:r>
      <w:r>
        <w:rPr>
          <w:rFonts w:ascii="Times New Roman" w:hAnsi="Times New Roman"/>
          <w:sz w:val="24"/>
          <w:szCs w:val="24"/>
          <w:lang w:val="en-CA"/>
        </w:rPr>
        <w:t xml:space="preserve">should be available </w:t>
      </w:r>
      <w:r w:rsidRPr="00FB4DD8">
        <w:rPr>
          <w:rFonts w:ascii="Times New Roman" w:hAnsi="Times New Roman"/>
          <w:sz w:val="24"/>
          <w:szCs w:val="24"/>
          <w:lang w:val="en-CA"/>
        </w:rPr>
        <w:t xml:space="preserve">even if the child is not residing in the country where </w:t>
      </w:r>
      <w:r>
        <w:rPr>
          <w:rFonts w:ascii="Times New Roman" w:hAnsi="Times New Roman"/>
          <w:sz w:val="24"/>
          <w:szCs w:val="24"/>
          <w:lang w:val="en-CA"/>
        </w:rPr>
        <w:t xml:space="preserve">the </w:t>
      </w:r>
      <w:r w:rsidRPr="00FB4DD8">
        <w:rPr>
          <w:rFonts w:ascii="Times New Roman" w:hAnsi="Times New Roman"/>
          <w:sz w:val="24"/>
          <w:szCs w:val="24"/>
          <w:lang w:val="en-CA"/>
        </w:rPr>
        <w:t>work takes place. Rules prevent</w:t>
      </w:r>
      <w:r>
        <w:rPr>
          <w:rFonts w:ascii="Times New Roman" w:hAnsi="Times New Roman"/>
          <w:sz w:val="24"/>
          <w:szCs w:val="24"/>
          <w:lang w:val="en-CA"/>
        </w:rPr>
        <w:t>ing</w:t>
      </w:r>
      <w:r w:rsidRPr="00FB4DD8">
        <w:rPr>
          <w:rFonts w:ascii="Times New Roman" w:hAnsi="Times New Roman"/>
          <w:sz w:val="24"/>
          <w:szCs w:val="24"/>
          <w:lang w:val="en-CA"/>
        </w:rPr>
        <w:t xml:space="preserve"> people with disabilities have also been </w:t>
      </w:r>
      <w:r>
        <w:rPr>
          <w:rFonts w:ascii="Times New Roman" w:hAnsi="Times New Roman"/>
          <w:sz w:val="24"/>
          <w:szCs w:val="24"/>
          <w:lang w:val="en-CA"/>
        </w:rPr>
        <w:t>said</w:t>
      </w:r>
      <w:r w:rsidRPr="00FB4DD8">
        <w:rPr>
          <w:rFonts w:ascii="Times New Roman" w:hAnsi="Times New Roman"/>
          <w:sz w:val="24"/>
          <w:szCs w:val="24"/>
          <w:lang w:val="en-CA"/>
        </w:rPr>
        <w:t xml:space="preserve"> to hind</w:t>
      </w:r>
      <w:r>
        <w:rPr>
          <w:rFonts w:ascii="Times New Roman" w:hAnsi="Times New Roman"/>
          <w:sz w:val="24"/>
          <w:szCs w:val="24"/>
          <w:lang w:val="en-CA"/>
        </w:rPr>
        <w:t>er</w:t>
      </w:r>
      <w:r w:rsidRPr="00FB4DD8">
        <w:rPr>
          <w:rFonts w:ascii="Times New Roman" w:hAnsi="Times New Roman"/>
          <w:sz w:val="24"/>
          <w:szCs w:val="24"/>
          <w:lang w:val="en-CA"/>
        </w:rPr>
        <w:t xml:space="preserve"> free-mobility, given the restrictions on exporting benefits and non-legal barriers in several areas such as transport and housing (Morgan, 2005).</w:t>
      </w:r>
    </w:p>
    <w:p w:rsidR="00915A58" w:rsidRPr="00FB4DD8" w:rsidRDefault="00915A58" w:rsidP="00790EC0">
      <w:pPr>
        <w:spacing w:line="240" w:lineRule="auto"/>
        <w:jc w:val="both"/>
        <w:rPr>
          <w:rFonts w:ascii="Times New Roman" w:hAnsi="Times New Roman"/>
          <w:sz w:val="24"/>
          <w:szCs w:val="24"/>
          <w:lang w:val="en-CA"/>
        </w:rPr>
      </w:pPr>
      <w:r>
        <w:rPr>
          <w:rFonts w:ascii="Times New Roman" w:hAnsi="Times New Roman"/>
          <w:sz w:val="24"/>
          <w:szCs w:val="24"/>
          <w:lang w:val="en-CA"/>
        </w:rPr>
        <w:t>The u</w:t>
      </w:r>
      <w:r w:rsidRPr="00FB4DD8">
        <w:rPr>
          <w:rFonts w:ascii="Times New Roman" w:hAnsi="Times New Roman"/>
          <w:sz w:val="24"/>
          <w:szCs w:val="24"/>
          <w:lang w:val="en-CA"/>
        </w:rPr>
        <w:t xml:space="preserve">se of </w:t>
      </w:r>
      <w:r w:rsidR="004E2E1F">
        <w:rPr>
          <w:rFonts w:ascii="Times New Roman" w:hAnsi="Times New Roman"/>
          <w:sz w:val="24"/>
          <w:szCs w:val="24"/>
          <w:lang w:val="en-CA"/>
        </w:rPr>
        <w:t>regulations</w:t>
      </w:r>
      <w:r w:rsidRPr="004E2E1F">
        <w:rPr>
          <w:rFonts w:ascii="Times New Roman" w:hAnsi="Times New Roman"/>
          <w:sz w:val="24"/>
          <w:szCs w:val="24"/>
          <w:lang w:val="en-CA"/>
        </w:rPr>
        <w:t xml:space="preserve"> </w:t>
      </w:r>
      <w:r w:rsidR="003873F1">
        <w:rPr>
          <w:rFonts w:ascii="Times New Roman" w:hAnsi="Times New Roman"/>
          <w:sz w:val="24"/>
          <w:szCs w:val="24"/>
          <w:lang w:val="en-CA"/>
        </w:rPr>
        <w:t>a</w:t>
      </w:r>
      <w:r w:rsidRPr="00FB4DD8">
        <w:rPr>
          <w:rFonts w:ascii="Times New Roman" w:hAnsi="Times New Roman"/>
          <w:sz w:val="24"/>
          <w:szCs w:val="24"/>
          <w:lang w:val="en-CA"/>
        </w:rPr>
        <w:t>nd</w:t>
      </w:r>
      <w:r w:rsidR="004E2E1F">
        <w:rPr>
          <w:rFonts w:ascii="Times New Roman" w:hAnsi="Times New Roman"/>
          <w:sz w:val="24"/>
          <w:szCs w:val="24"/>
          <w:lang w:val="en-CA"/>
        </w:rPr>
        <w:t xml:space="preserve"> other</w:t>
      </w:r>
      <w:r w:rsidRPr="00FB4DD8">
        <w:rPr>
          <w:rFonts w:ascii="Times New Roman" w:hAnsi="Times New Roman"/>
          <w:sz w:val="24"/>
          <w:szCs w:val="24"/>
          <w:lang w:val="en-CA"/>
        </w:rPr>
        <w:t xml:space="preserve"> attempts to harmonize </w:t>
      </w:r>
      <w:r>
        <w:rPr>
          <w:rFonts w:ascii="Times New Roman" w:hAnsi="Times New Roman"/>
          <w:sz w:val="24"/>
          <w:szCs w:val="24"/>
          <w:lang w:val="en-CA"/>
        </w:rPr>
        <w:t>has been</w:t>
      </w:r>
      <w:r w:rsidRPr="00FB4DD8">
        <w:rPr>
          <w:rFonts w:ascii="Times New Roman" w:hAnsi="Times New Roman"/>
          <w:sz w:val="24"/>
          <w:szCs w:val="24"/>
          <w:lang w:val="en-CA"/>
        </w:rPr>
        <w:t xml:space="preserve"> the main approach for a long time, until it became clear in the mid-nineties that due to </w:t>
      </w:r>
      <w:r>
        <w:rPr>
          <w:rFonts w:ascii="Times New Roman" w:hAnsi="Times New Roman"/>
          <w:sz w:val="24"/>
          <w:szCs w:val="24"/>
          <w:lang w:val="en-CA"/>
        </w:rPr>
        <w:t xml:space="preserve">the fact </w:t>
      </w:r>
      <w:r w:rsidRPr="00FB4DD8">
        <w:rPr>
          <w:rFonts w:ascii="Times New Roman" w:hAnsi="Times New Roman"/>
          <w:sz w:val="24"/>
          <w:szCs w:val="24"/>
          <w:lang w:val="en-CA"/>
        </w:rPr>
        <w:t>that most areas needed unanimity</w:t>
      </w:r>
      <w:r>
        <w:rPr>
          <w:rFonts w:ascii="Times New Roman" w:hAnsi="Times New Roman"/>
          <w:sz w:val="24"/>
          <w:szCs w:val="24"/>
          <w:lang w:val="en-CA"/>
        </w:rPr>
        <w:t>,</w:t>
      </w:r>
      <w:r w:rsidRPr="00FB4DD8">
        <w:rPr>
          <w:rFonts w:ascii="Times New Roman" w:hAnsi="Times New Roman"/>
          <w:sz w:val="24"/>
          <w:szCs w:val="24"/>
          <w:lang w:val="en-CA"/>
        </w:rPr>
        <w:t xml:space="preserve"> it would be difficult to decide on binding directives. There ha</w:t>
      </w:r>
      <w:r>
        <w:rPr>
          <w:rFonts w:ascii="Times New Roman" w:hAnsi="Times New Roman"/>
          <w:sz w:val="24"/>
          <w:szCs w:val="24"/>
          <w:lang w:val="en-CA"/>
        </w:rPr>
        <w:t>ve</w:t>
      </w:r>
      <w:r w:rsidRPr="00FB4DD8">
        <w:rPr>
          <w:rFonts w:ascii="Times New Roman" w:hAnsi="Times New Roman"/>
          <w:sz w:val="24"/>
          <w:szCs w:val="24"/>
          <w:lang w:val="en-CA"/>
        </w:rPr>
        <w:t>, for example, been directives on social security (1997/7/EEC)</w:t>
      </w:r>
      <w:r>
        <w:rPr>
          <w:rFonts w:ascii="Times New Roman" w:hAnsi="Times New Roman"/>
          <w:sz w:val="24"/>
          <w:szCs w:val="24"/>
          <w:lang w:val="en-CA"/>
        </w:rPr>
        <w:t xml:space="preserve"> and</w:t>
      </w:r>
      <w:r w:rsidRPr="00FB4DD8">
        <w:rPr>
          <w:rFonts w:ascii="Times New Roman" w:hAnsi="Times New Roman"/>
          <w:sz w:val="24"/>
          <w:szCs w:val="24"/>
          <w:lang w:val="en-CA"/>
        </w:rPr>
        <w:t xml:space="preserve"> equal treatment (1976/207/EEC) that could have an impact on </w:t>
      </w:r>
      <w:r>
        <w:rPr>
          <w:rFonts w:ascii="Times New Roman" w:hAnsi="Times New Roman"/>
          <w:sz w:val="24"/>
          <w:szCs w:val="24"/>
          <w:lang w:val="en-CA"/>
        </w:rPr>
        <w:t xml:space="preserve">the </w:t>
      </w:r>
      <w:r w:rsidRPr="00FB4DD8">
        <w:rPr>
          <w:rFonts w:ascii="Times New Roman" w:hAnsi="Times New Roman"/>
          <w:sz w:val="24"/>
          <w:szCs w:val="24"/>
          <w:lang w:val="en-CA"/>
        </w:rPr>
        <w:t>nation state</w:t>
      </w:r>
      <w:r>
        <w:rPr>
          <w:rFonts w:ascii="Times New Roman" w:hAnsi="Times New Roman"/>
          <w:sz w:val="24"/>
          <w:szCs w:val="24"/>
          <w:lang w:val="en-CA"/>
        </w:rPr>
        <w:t>’</w:t>
      </w:r>
      <w:r w:rsidRPr="00FB4DD8">
        <w:rPr>
          <w:rFonts w:ascii="Times New Roman" w:hAnsi="Times New Roman"/>
          <w:sz w:val="24"/>
          <w:szCs w:val="24"/>
          <w:lang w:val="en-CA"/>
        </w:rPr>
        <w:t>s ability to pursue welfare policies. Later</w:t>
      </w:r>
      <w:r>
        <w:rPr>
          <w:rFonts w:ascii="Times New Roman" w:hAnsi="Times New Roman"/>
          <w:sz w:val="24"/>
          <w:szCs w:val="24"/>
          <w:lang w:val="en-CA"/>
        </w:rPr>
        <w:t xml:space="preserve"> </w:t>
      </w:r>
      <w:r w:rsidRPr="00FB4DD8">
        <w:rPr>
          <w:rFonts w:ascii="Times New Roman" w:hAnsi="Times New Roman"/>
          <w:sz w:val="24"/>
          <w:szCs w:val="24"/>
          <w:lang w:val="en-CA"/>
        </w:rPr>
        <w:t xml:space="preserve">there </w:t>
      </w:r>
      <w:r>
        <w:rPr>
          <w:rFonts w:ascii="Times New Roman" w:hAnsi="Times New Roman"/>
          <w:sz w:val="24"/>
          <w:szCs w:val="24"/>
          <w:lang w:val="en-CA"/>
        </w:rPr>
        <w:t>was</w:t>
      </w:r>
      <w:r w:rsidRPr="00FB4DD8">
        <w:rPr>
          <w:rFonts w:ascii="Times New Roman" w:hAnsi="Times New Roman"/>
          <w:sz w:val="24"/>
          <w:szCs w:val="24"/>
          <w:lang w:val="en-CA"/>
        </w:rPr>
        <w:t xml:space="preserve"> also</w:t>
      </w:r>
      <w:r>
        <w:rPr>
          <w:rFonts w:ascii="Times New Roman" w:hAnsi="Times New Roman"/>
          <w:sz w:val="24"/>
          <w:szCs w:val="24"/>
          <w:lang w:val="en-CA"/>
        </w:rPr>
        <w:t xml:space="preserve"> a</w:t>
      </w:r>
      <w:r w:rsidRPr="00FB4DD8">
        <w:rPr>
          <w:rFonts w:ascii="Times New Roman" w:hAnsi="Times New Roman"/>
          <w:sz w:val="24"/>
          <w:szCs w:val="24"/>
          <w:lang w:val="en-CA"/>
        </w:rPr>
        <w:t xml:space="preserve"> directive with regard to leave in relation to the birth of a child</w:t>
      </w:r>
      <w:r>
        <w:rPr>
          <w:rFonts w:ascii="Times New Roman" w:hAnsi="Times New Roman"/>
          <w:sz w:val="24"/>
          <w:szCs w:val="24"/>
          <w:lang w:val="en-CA"/>
        </w:rPr>
        <w:t xml:space="preserve"> </w:t>
      </w:r>
      <w:r w:rsidRPr="00FB4DD8">
        <w:rPr>
          <w:rFonts w:ascii="Times New Roman" w:hAnsi="Times New Roman"/>
          <w:sz w:val="24"/>
          <w:szCs w:val="24"/>
          <w:lang w:val="en-CA"/>
        </w:rPr>
        <w:t>(Parental leave 1996/34)</w:t>
      </w:r>
      <w:r>
        <w:rPr>
          <w:rFonts w:ascii="Times New Roman" w:hAnsi="Times New Roman"/>
          <w:sz w:val="24"/>
          <w:szCs w:val="24"/>
          <w:lang w:val="en-CA"/>
        </w:rPr>
        <w:t>; nevertheless</w:t>
      </w:r>
      <w:r w:rsidRPr="00FB4DD8">
        <w:rPr>
          <w:rFonts w:ascii="Times New Roman" w:hAnsi="Times New Roman"/>
          <w:sz w:val="24"/>
          <w:szCs w:val="24"/>
          <w:lang w:val="en-CA"/>
        </w:rPr>
        <w:t>, in general the EU</w:t>
      </w:r>
      <w:r w:rsidR="003873F1">
        <w:rPr>
          <w:rFonts w:ascii="Times New Roman" w:hAnsi="Times New Roman"/>
          <w:sz w:val="24"/>
          <w:szCs w:val="24"/>
          <w:lang w:val="en-CA"/>
        </w:rPr>
        <w:t xml:space="preserve"> as such</w:t>
      </w:r>
      <w:r w:rsidRPr="00FB4DD8">
        <w:rPr>
          <w:rFonts w:ascii="Times New Roman" w:hAnsi="Times New Roman"/>
          <w:sz w:val="24"/>
          <w:szCs w:val="24"/>
          <w:lang w:val="en-CA"/>
        </w:rPr>
        <w:t xml:space="preserve"> has not been </w:t>
      </w:r>
      <w:r w:rsidR="003873F1">
        <w:rPr>
          <w:rFonts w:ascii="Times New Roman" w:hAnsi="Times New Roman"/>
          <w:sz w:val="24"/>
          <w:szCs w:val="24"/>
          <w:lang w:val="en-CA"/>
        </w:rPr>
        <w:t>a central</w:t>
      </w:r>
      <w:r w:rsidR="00D713DC">
        <w:rPr>
          <w:rFonts w:ascii="Times New Roman" w:hAnsi="Times New Roman"/>
          <w:sz w:val="24"/>
          <w:szCs w:val="24"/>
          <w:lang w:val="en-CA"/>
        </w:rPr>
        <w:t xml:space="preserve"> </w:t>
      </w:r>
      <w:r w:rsidRPr="00FB4DD8">
        <w:rPr>
          <w:rFonts w:ascii="Times New Roman" w:hAnsi="Times New Roman"/>
          <w:sz w:val="24"/>
          <w:szCs w:val="24"/>
          <w:lang w:val="en-CA"/>
        </w:rPr>
        <w:t>player in relation to having a direct impact on nation state</w:t>
      </w:r>
      <w:r>
        <w:rPr>
          <w:rFonts w:ascii="Times New Roman" w:hAnsi="Times New Roman"/>
          <w:sz w:val="24"/>
          <w:szCs w:val="24"/>
          <w:lang w:val="en-CA"/>
        </w:rPr>
        <w:t>’</w:t>
      </w:r>
      <w:r w:rsidRPr="00FB4DD8">
        <w:rPr>
          <w:rFonts w:ascii="Times New Roman" w:hAnsi="Times New Roman"/>
          <w:sz w:val="24"/>
          <w:szCs w:val="24"/>
          <w:lang w:val="en-CA"/>
        </w:rPr>
        <w:t>s welfare policies</w:t>
      </w:r>
      <w:r w:rsidR="00BA0C3A">
        <w:rPr>
          <w:rFonts w:ascii="Times New Roman" w:hAnsi="Times New Roman"/>
          <w:sz w:val="24"/>
          <w:szCs w:val="24"/>
          <w:lang w:val="en-CA"/>
        </w:rPr>
        <w:t>,</w:t>
      </w:r>
      <w:r w:rsidR="003873F1">
        <w:rPr>
          <w:rFonts w:ascii="Times New Roman" w:hAnsi="Times New Roman"/>
          <w:sz w:val="24"/>
          <w:szCs w:val="24"/>
          <w:lang w:val="en-CA"/>
        </w:rPr>
        <w:t xml:space="preserve"> with the court of Justice presumably being an exception</w:t>
      </w:r>
      <w:r w:rsidRPr="00FB4DD8">
        <w:rPr>
          <w:rFonts w:ascii="Times New Roman" w:hAnsi="Times New Roman"/>
          <w:sz w:val="24"/>
          <w:szCs w:val="24"/>
          <w:lang w:val="en-CA"/>
        </w:rPr>
        <w:t>, although the indirect influence due to free</w:t>
      </w:r>
      <w:r>
        <w:rPr>
          <w:rFonts w:ascii="Times New Roman" w:hAnsi="Times New Roman"/>
          <w:sz w:val="24"/>
          <w:szCs w:val="24"/>
          <w:lang w:val="en-CA"/>
        </w:rPr>
        <w:t xml:space="preserve"> </w:t>
      </w:r>
      <w:r w:rsidRPr="00FB4DD8">
        <w:rPr>
          <w:rFonts w:ascii="Times New Roman" w:hAnsi="Times New Roman"/>
          <w:sz w:val="24"/>
          <w:szCs w:val="24"/>
          <w:lang w:val="en-CA"/>
        </w:rPr>
        <w:t>movement can be witnessed</w:t>
      </w:r>
      <w:r>
        <w:rPr>
          <w:rFonts w:ascii="Times New Roman" w:hAnsi="Times New Roman"/>
          <w:sz w:val="24"/>
          <w:szCs w:val="24"/>
          <w:lang w:val="en-CA"/>
        </w:rPr>
        <w:t xml:space="preserve"> (</w:t>
      </w:r>
      <w:r w:rsidRPr="00FB4DD8">
        <w:rPr>
          <w:rFonts w:ascii="Times New Roman" w:hAnsi="Times New Roman"/>
          <w:sz w:val="24"/>
          <w:szCs w:val="24"/>
          <w:lang w:val="en-CA"/>
        </w:rPr>
        <w:t xml:space="preserve">cf. </w:t>
      </w:r>
      <w:r w:rsidR="003873F1">
        <w:rPr>
          <w:rFonts w:ascii="Times New Roman" w:hAnsi="Times New Roman"/>
          <w:sz w:val="24"/>
          <w:szCs w:val="24"/>
          <w:lang w:val="en-CA"/>
        </w:rPr>
        <w:t>below</w:t>
      </w:r>
      <w:r w:rsidRPr="00FB4DD8">
        <w:rPr>
          <w:rFonts w:ascii="Times New Roman" w:hAnsi="Times New Roman"/>
          <w:sz w:val="24"/>
          <w:szCs w:val="24"/>
          <w:lang w:val="en-CA"/>
        </w:rPr>
        <w:t xml:space="preserve"> on the Laval case</w:t>
      </w:r>
      <w:r w:rsidR="003873F1">
        <w:rPr>
          <w:rFonts w:ascii="Times New Roman" w:hAnsi="Times New Roman"/>
          <w:sz w:val="24"/>
          <w:szCs w:val="24"/>
          <w:lang w:val="en-CA"/>
        </w:rPr>
        <w:t xml:space="preserve"> and the debate on the service directive</w:t>
      </w:r>
      <w:r>
        <w:rPr>
          <w:rFonts w:ascii="Times New Roman" w:hAnsi="Times New Roman"/>
          <w:sz w:val="24"/>
          <w:szCs w:val="24"/>
          <w:lang w:val="en-CA"/>
        </w:rPr>
        <w:t>)</w:t>
      </w:r>
      <w:r w:rsidRPr="00FB4DD8">
        <w:rPr>
          <w:rFonts w:ascii="Times New Roman" w:hAnsi="Times New Roman"/>
          <w:sz w:val="24"/>
          <w:szCs w:val="24"/>
          <w:lang w:val="en-CA"/>
        </w:rPr>
        <w:t>.</w:t>
      </w:r>
      <w:r w:rsidR="00A76A03">
        <w:rPr>
          <w:rFonts w:ascii="Times New Roman" w:hAnsi="Times New Roman"/>
          <w:sz w:val="24"/>
          <w:szCs w:val="24"/>
          <w:lang w:val="en-CA"/>
        </w:rPr>
        <w:t xml:space="preserve"> The fiscal crisis</w:t>
      </w:r>
      <w:r w:rsidR="00650769">
        <w:rPr>
          <w:rFonts w:ascii="Times New Roman" w:hAnsi="Times New Roman"/>
          <w:sz w:val="24"/>
          <w:szCs w:val="24"/>
          <w:lang w:val="en-CA"/>
        </w:rPr>
        <w:t>, including the</w:t>
      </w:r>
      <w:r w:rsidR="00A76A03">
        <w:rPr>
          <w:rFonts w:ascii="Times New Roman" w:hAnsi="Times New Roman"/>
          <w:sz w:val="24"/>
          <w:szCs w:val="24"/>
          <w:lang w:val="en-CA"/>
        </w:rPr>
        <w:t xml:space="preserve"> demand to fulfill the EMU criteria if receiving support from the EU</w:t>
      </w:r>
      <w:r w:rsidR="00650769">
        <w:rPr>
          <w:rFonts w:ascii="Times New Roman" w:hAnsi="Times New Roman"/>
          <w:sz w:val="24"/>
          <w:szCs w:val="24"/>
          <w:lang w:val="en-CA"/>
        </w:rPr>
        <w:t>, which includes</w:t>
      </w:r>
      <w:r w:rsidR="00A76A03">
        <w:rPr>
          <w:rFonts w:ascii="Times New Roman" w:hAnsi="Times New Roman"/>
          <w:sz w:val="24"/>
          <w:szCs w:val="24"/>
          <w:lang w:val="en-CA"/>
        </w:rPr>
        <w:t xml:space="preserve"> in several countries a reduction of the public welfare sector and its structure</w:t>
      </w:r>
      <w:r w:rsidR="00650769">
        <w:rPr>
          <w:rFonts w:ascii="Times New Roman" w:hAnsi="Times New Roman"/>
          <w:sz w:val="24"/>
          <w:szCs w:val="24"/>
          <w:lang w:val="en-CA"/>
        </w:rPr>
        <w:t>,</w:t>
      </w:r>
      <w:r w:rsidR="00A76A03">
        <w:rPr>
          <w:rFonts w:ascii="Times New Roman" w:hAnsi="Times New Roman"/>
          <w:sz w:val="24"/>
          <w:szCs w:val="24"/>
          <w:lang w:val="en-CA"/>
        </w:rPr>
        <w:t xml:space="preserve"> seems also to </w:t>
      </w:r>
      <w:r w:rsidR="00650769">
        <w:rPr>
          <w:rFonts w:ascii="Times New Roman" w:hAnsi="Times New Roman"/>
          <w:sz w:val="24"/>
          <w:szCs w:val="24"/>
          <w:lang w:val="en-CA"/>
        </w:rPr>
        <w:t xml:space="preserve">be </w:t>
      </w:r>
      <w:r w:rsidR="00A76A03">
        <w:rPr>
          <w:rFonts w:ascii="Times New Roman" w:hAnsi="Times New Roman"/>
          <w:sz w:val="24"/>
          <w:szCs w:val="24"/>
          <w:lang w:val="en-CA"/>
        </w:rPr>
        <w:t>an example of the growing impact of the EU on welfare state policies.</w:t>
      </w:r>
    </w:p>
    <w:p w:rsidR="00915A58" w:rsidRPr="00FB4DD8" w:rsidRDefault="00915A58" w:rsidP="00790EC0">
      <w:pPr>
        <w:spacing w:line="240" w:lineRule="auto"/>
        <w:jc w:val="both"/>
        <w:rPr>
          <w:rFonts w:ascii="Times New Roman" w:hAnsi="Times New Roman"/>
          <w:sz w:val="24"/>
          <w:szCs w:val="24"/>
          <w:lang w:val="en-CA"/>
        </w:rPr>
      </w:pPr>
      <w:r w:rsidRPr="00FB4DD8">
        <w:rPr>
          <w:rFonts w:ascii="Times New Roman" w:hAnsi="Times New Roman"/>
          <w:sz w:val="24"/>
          <w:szCs w:val="24"/>
          <w:lang w:val="en-CA"/>
        </w:rPr>
        <w:t xml:space="preserve">Since the Amsterdam </w:t>
      </w:r>
      <w:r>
        <w:rPr>
          <w:rFonts w:ascii="Times New Roman" w:hAnsi="Times New Roman"/>
          <w:sz w:val="24"/>
          <w:szCs w:val="24"/>
          <w:lang w:val="en-CA"/>
        </w:rPr>
        <w:t>T</w:t>
      </w:r>
      <w:r w:rsidRPr="00FB4DD8">
        <w:rPr>
          <w:rFonts w:ascii="Times New Roman" w:hAnsi="Times New Roman"/>
          <w:sz w:val="24"/>
          <w:szCs w:val="24"/>
          <w:lang w:val="en-CA"/>
        </w:rPr>
        <w:t xml:space="preserve">reaty and with </w:t>
      </w:r>
      <w:r w:rsidR="00374556">
        <w:rPr>
          <w:rFonts w:ascii="Times New Roman" w:hAnsi="Times New Roman"/>
          <w:sz w:val="24"/>
          <w:szCs w:val="24"/>
          <w:lang w:val="en-CA"/>
        </w:rPr>
        <w:t>a</w:t>
      </w:r>
      <w:r>
        <w:rPr>
          <w:rFonts w:ascii="Times New Roman" w:hAnsi="Times New Roman"/>
          <w:sz w:val="24"/>
          <w:szCs w:val="24"/>
          <w:lang w:val="en-CA"/>
        </w:rPr>
        <w:t xml:space="preserve"> </w:t>
      </w:r>
      <w:r w:rsidR="00650769" w:rsidRPr="00FB4DD8">
        <w:rPr>
          <w:rFonts w:ascii="Times New Roman" w:hAnsi="Times New Roman"/>
          <w:sz w:val="24"/>
          <w:szCs w:val="24"/>
          <w:lang w:val="en-CA"/>
        </w:rPr>
        <w:t>better</w:t>
      </w:r>
      <w:r w:rsidRPr="00FB4DD8">
        <w:rPr>
          <w:rFonts w:ascii="Times New Roman" w:hAnsi="Times New Roman"/>
          <w:sz w:val="24"/>
          <w:szCs w:val="24"/>
          <w:lang w:val="en-CA"/>
        </w:rPr>
        <w:t xml:space="preserve"> focus on how to promote employment, there has also been a concern with regard to </w:t>
      </w:r>
      <w:r>
        <w:rPr>
          <w:rFonts w:ascii="Times New Roman" w:hAnsi="Times New Roman"/>
          <w:sz w:val="24"/>
          <w:szCs w:val="24"/>
          <w:lang w:val="en-CA"/>
        </w:rPr>
        <w:t xml:space="preserve">the </w:t>
      </w:r>
      <w:r w:rsidRPr="00FB4DD8">
        <w:rPr>
          <w:rFonts w:ascii="Times New Roman" w:hAnsi="Times New Roman"/>
          <w:sz w:val="24"/>
          <w:szCs w:val="24"/>
          <w:lang w:val="en-CA"/>
        </w:rPr>
        <w:t xml:space="preserve">reconciliation of work and family life. This has included </w:t>
      </w:r>
      <w:r>
        <w:rPr>
          <w:rFonts w:ascii="Times New Roman" w:hAnsi="Times New Roman"/>
          <w:sz w:val="24"/>
          <w:szCs w:val="24"/>
          <w:lang w:val="en-CA"/>
        </w:rPr>
        <w:t xml:space="preserve">a </w:t>
      </w:r>
      <w:r w:rsidRPr="00FB4DD8">
        <w:rPr>
          <w:rFonts w:ascii="Times New Roman" w:hAnsi="Times New Roman"/>
          <w:sz w:val="24"/>
          <w:szCs w:val="24"/>
          <w:lang w:val="en-CA"/>
        </w:rPr>
        <w:t>focus on gender equality policy, equal treatment at work, parental leave and child care. There have been directives on equal opportunities, on services in the internal</w:t>
      </w:r>
      <w:r>
        <w:rPr>
          <w:rFonts w:ascii="Times New Roman" w:hAnsi="Times New Roman"/>
          <w:sz w:val="24"/>
          <w:szCs w:val="24"/>
          <w:lang w:val="en-CA"/>
        </w:rPr>
        <w:t xml:space="preserve"> </w:t>
      </w:r>
      <w:r w:rsidRPr="00FB4DD8">
        <w:rPr>
          <w:rFonts w:ascii="Times New Roman" w:hAnsi="Times New Roman"/>
          <w:sz w:val="24"/>
          <w:szCs w:val="24"/>
          <w:lang w:val="en-CA"/>
        </w:rPr>
        <w:t xml:space="preserve">market and </w:t>
      </w:r>
      <w:r w:rsidRPr="00FB4DD8">
        <w:rPr>
          <w:rFonts w:ascii="Times New Roman" w:hAnsi="Times New Roman"/>
          <w:sz w:val="24"/>
          <w:szCs w:val="24"/>
          <w:lang w:val="en-CA"/>
        </w:rPr>
        <w:lastRenderedPageBreak/>
        <w:t xml:space="preserve">on equal treatment (also being one of the cornerstones </w:t>
      </w:r>
      <w:r>
        <w:rPr>
          <w:rFonts w:ascii="Times New Roman" w:hAnsi="Times New Roman"/>
          <w:sz w:val="24"/>
          <w:szCs w:val="24"/>
          <w:lang w:val="en-CA"/>
        </w:rPr>
        <w:t>of</w:t>
      </w:r>
      <w:r w:rsidRPr="00FB4DD8">
        <w:rPr>
          <w:rFonts w:ascii="Times New Roman" w:hAnsi="Times New Roman"/>
          <w:sz w:val="24"/>
          <w:szCs w:val="24"/>
          <w:lang w:val="en-CA"/>
        </w:rPr>
        <w:t xml:space="preserve"> the Rome Treaty), communication on a better work-life balance, council conclusions and targets related to </w:t>
      </w:r>
      <w:r>
        <w:rPr>
          <w:rFonts w:ascii="Times New Roman" w:hAnsi="Times New Roman"/>
          <w:sz w:val="24"/>
          <w:szCs w:val="24"/>
          <w:lang w:val="en-CA"/>
        </w:rPr>
        <w:t xml:space="preserve">the </w:t>
      </w:r>
      <w:r w:rsidRPr="00FB4DD8">
        <w:rPr>
          <w:rFonts w:ascii="Times New Roman" w:hAnsi="Times New Roman"/>
          <w:sz w:val="24"/>
          <w:szCs w:val="24"/>
          <w:lang w:val="en-CA"/>
        </w:rPr>
        <w:t xml:space="preserve">employment rate </w:t>
      </w:r>
      <w:r>
        <w:rPr>
          <w:rFonts w:ascii="Times New Roman" w:hAnsi="Times New Roman"/>
          <w:sz w:val="24"/>
          <w:szCs w:val="24"/>
          <w:lang w:val="en-CA"/>
        </w:rPr>
        <w:t>of</w:t>
      </w:r>
      <w:r w:rsidRPr="00FB4DD8">
        <w:rPr>
          <w:rFonts w:ascii="Times New Roman" w:hAnsi="Times New Roman"/>
          <w:sz w:val="24"/>
          <w:szCs w:val="24"/>
          <w:lang w:val="en-CA"/>
        </w:rPr>
        <w:t xml:space="preserve"> women</w:t>
      </w:r>
      <w:r>
        <w:rPr>
          <w:rFonts w:ascii="Times New Roman" w:hAnsi="Times New Roman"/>
          <w:sz w:val="24"/>
          <w:szCs w:val="24"/>
          <w:lang w:val="en-CA"/>
        </w:rPr>
        <w:t>,</w:t>
      </w:r>
      <w:r w:rsidRPr="00FB4DD8">
        <w:rPr>
          <w:rFonts w:ascii="Times New Roman" w:hAnsi="Times New Roman"/>
          <w:sz w:val="24"/>
          <w:szCs w:val="24"/>
          <w:lang w:val="en-CA"/>
        </w:rPr>
        <w:t xml:space="preserve"> etc., and also increased funding (European </w:t>
      </w:r>
      <w:r>
        <w:rPr>
          <w:rFonts w:ascii="Times New Roman" w:hAnsi="Times New Roman"/>
          <w:sz w:val="24"/>
          <w:szCs w:val="24"/>
          <w:lang w:val="en-CA"/>
        </w:rPr>
        <w:t>S</w:t>
      </w:r>
      <w:r w:rsidRPr="00FB4DD8">
        <w:rPr>
          <w:rFonts w:ascii="Times New Roman" w:hAnsi="Times New Roman"/>
          <w:sz w:val="24"/>
          <w:szCs w:val="24"/>
          <w:lang w:val="en-CA"/>
        </w:rPr>
        <w:t xml:space="preserve">ocial </w:t>
      </w:r>
      <w:r>
        <w:rPr>
          <w:rFonts w:ascii="Times New Roman" w:hAnsi="Times New Roman"/>
          <w:sz w:val="24"/>
          <w:szCs w:val="24"/>
          <w:lang w:val="en-CA"/>
        </w:rPr>
        <w:t>F</w:t>
      </w:r>
      <w:r w:rsidRPr="00FB4DD8">
        <w:rPr>
          <w:rFonts w:ascii="Times New Roman" w:hAnsi="Times New Roman"/>
          <w:sz w:val="24"/>
          <w:szCs w:val="24"/>
          <w:lang w:val="en-CA"/>
        </w:rPr>
        <w:t xml:space="preserve">und) in these areas (Jacquot et. </w:t>
      </w:r>
      <w:r>
        <w:rPr>
          <w:rFonts w:ascii="Times New Roman" w:hAnsi="Times New Roman"/>
          <w:sz w:val="24"/>
          <w:szCs w:val="24"/>
          <w:lang w:val="en-CA"/>
        </w:rPr>
        <w:t>a</w:t>
      </w:r>
      <w:r w:rsidRPr="00FB4DD8">
        <w:rPr>
          <w:rFonts w:ascii="Times New Roman" w:hAnsi="Times New Roman"/>
          <w:sz w:val="24"/>
          <w:szCs w:val="24"/>
          <w:lang w:val="en-CA"/>
        </w:rPr>
        <w:t xml:space="preserve">l., 2011). </w:t>
      </w:r>
      <w:r>
        <w:rPr>
          <w:rFonts w:ascii="Times New Roman" w:hAnsi="Times New Roman"/>
          <w:sz w:val="24"/>
          <w:szCs w:val="24"/>
          <w:lang w:val="en-CA"/>
        </w:rPr>
        <w:t>Th</w:t>
      </w:r>
      <w:r w:rsidRPr="00FB4DD8">
        <w:rPr>
          <w:rFonts w:ascii="Times New Roman" w:hAnsi="Times New Roman"/>
          <w:sz w:val="24"/>
          <w:szCs w:val="24"/>
          <w:lang w:val="en-CA"/>
        </w:rPr>
        <w:t>us</w:t>
      </w:r>
      <w:r>
        <w:rPr>
          <w:rFonts w:ascii="Times New Roman" w:hAnsi="Times New Roman"/>
          <w:sz w:val="24"/>
          <w:szCs w:val="24"/>
          <w:lang w:val="en-CA"/>
        </w:rPr>
        <w:t xml:space="preserve"> </w:t>
      </w:r>
      <w:r w:rsidR="003873F1">
        <w:rPr>
          <w:rFonts w:ascii="Times New Roman" w:hAnsi="Times New Roman"/>
          <w:sz w:val="24"/>
          <w:szCs w:val="24"/>
          <w:lang w:val="en-CA"/>
        </w:rPr>
        <w:t xml:space="preserve">despite that </w:t>
      </w:r>
      <w:r>
        <w:rPr>
          <w:rFonts w:ascii="Times New Roman" w:hAnsi="Times New Roman"/>
          <w:sz w:val="24"/>
          <w:szCs w:val="24"/>
          <w:lang w:val="en-CA"/>
        </w:rPr>
        <w:t>t</w:t>
      </w:r>
      <w:r w:rsidRPr="00FB4DD8">
        <w:rPr>
          <w:rFonts w:ascii="Times New Roman" w:hAnsi="Times New Roman"/>
          <w:sz w:val="24"/>
          <w:szCs w:val="24"/>
          <w:lang w:val="en-CA"/>
        </w:rPr>
        <w:t xml:space="preserve">he EU in general </w:t>
      </w:r>
      <w:r w:rsidR="003873F1">
        <w:rPr>
          <w:rFonts w:ascii="Times New Roman" w:hAnsi="Times New Roman"/>
          <w:sz w:val="24"/>
          <w:szCs w:val="24"/>
          <w:lang w:val="en-CA"/>
        </w:rPr>
        <w:t>only have a weaker</w:t>
      </w:r>
      <w:r w:rsidR="002A0CDE">
        <w:rPr>
          <w:rFonts w:ascii="Times New Roman" w:hAnsi="Times New Roman"/>
          <w:sz w:val="24"/>
          <w:szCs w:val="24"/>
          <w:lang w:val="en-CA"/>
        </w:rPr>
        <w:t xml:space="preserve"> </w:t>
      </w:r>
      <w:r w:rsidRPr="00FB4DD8">
        <w:rPr>
          <w:rFonts w:ascii="Times New Roman" w:hAnsi="Times New Roman"/>
          <w:sz w:val="24"/>
          <w:szCs w:val="24"/>
          <w:lang w:val="en-CA"/>
        </w:rPr>
        <w:t xml:space="preserve">role with regard to welfare services the interaction between EU policy and national policy has gradually </w:t>
      </w:r>
      <w:r>
        <w:rPr>
          <w:rFonts w:ascii="Times New Roman" w:hAnsi="Times New Roman"/>
          <w:sz w:val="24"/>
          <w:szCs w:val="24"/>
          <w:lang w:val="en-CA"/>
        </w:rPr>
        <w:t>become</w:t>
      </w:r>
      <w:r w:rsidRPr="00FB4DD8">
        <w:rPr>
          <w:rFonts w:ascii="Times New Roman" w:hAnsi="Times New Roman"/>
          <w:sz w:val="24"/>
          <w:szCs w:val="24"/>
          <w:lang w:val="en-CA"/>
        </w:rPr>
        <w:t xml:space="preserve"> stronger, and case law has moved the boundaries between the</w:t>
      </w:r>
      <w:r w:rsidR="00650769">
        <w:rPr>
          <w:rFonts w:ascii="Times New Roman" w:hAnsi="Times New Roman"/>
          <w:sz w:val="24"/>
          <w:szCs w:val="24"/>
          <w:lang w:val="en-CA"/>
        </w:rPr>
        <w:t xml:space="preserve"> ability to make decisions between the</w:t>
      </w:r>
      <w:r w:rsidRPr="00FB4DD8">
        <w:rPr>
          <w:rFonts w:ascii="Times New Roman" w:hAnsi="Times New Roman"/>
          <w:sz w:val="24"/>
          <w:szCs w:val="24"/>
          <w:lang w:val="en-CA"/>
        </w:rPr>
        <w:t xml:space="preserve"> EU and the nation states. </w:t>
      </w:r>
    </w:p>
    <w:p w:rsidR="00915A58" w:rsidRPr="00FB4DD8" w:rsidRDefault="003873F1" w:rsidP="00790EC0">
      <w:pPr>
        <w:spacing w:line="240" w:lineRule="auto"/>
        <w:jc w:val="both"/>
        <w:rPr>
          <w:rFonts w:ascii="Times New Roman" w:hAnsi="Times New Roman"/>
          <w:sz w:val="24"/>
          <w:szCs w:val="24"/>
          <w:lang w:val="en-CA"/>
        </w:rPr>
      </w:pPr>
      <w:r>
        <w:rPr>
          <w:rFonts w:ascii="Times New Roman" w:hAnsi="Times New Roman"/>
          <w:sz w:val="24"/>
          <w:szCs w:val="24"/>
          <w:lang w:val="en-CA"/>
        </w:rPr>
        <w:t>T</w:t>
      </w:r>
      <w:r w:rsidR="00915A58" w:rsidRPr="00FB4DD8">
        <w:rPr>
          <w:rFonts w:ascii="Times New Roman" w:hAnsi="Times New Roman"/>
          <w:sz w:val="24"/>
          <w:szCs w:val="24"/>
          <w:lang w:val="en-CA"/>
        </w:rPr>
        <w:t xml:space="preserve">he difficulty in reaching consensus also helps </w:t>
      </w:r>
      <w:r w:rsidR="00915A58">
        <w:rPr>
          <w:rFonts w:ascii="Times New Roman" w:hAnsi="Times New Roman"/>
          <w:sz w:val="24"/>
          <w:szCs w:val="24"/>
          <w:lang w:val="en-CA"/>
        </w:rPr>
        <w:t>to</w:t>
      </w:r>
      <w:r w:rsidR="00915A58" w:rsidRPr="00FB4DD8">
        <w:rPr>
          <w:rFonts w:ascii="Times New Roman" w:hAnsi="Times New Roman"/>
          <w:sz w:val="24"/>
          <w:szCs w:val="24"/>
          <w:lang w:val="en-CA"/>
        </w:rPr>
        <w:t xml:space="preserve"> explain why the </w:t>
      </w:r>
      <w:r w:rsidR="00A76A03">
        <w:rPr>
          <w:rFonts w:ascii="Times New Roman" w:hAnsi="Times New Roman"/>
          <w:sz w:val="24"/>
          <w:szCs w:val="24"/>
          <w:lang w:val="en-CA"/>
        </w:rPr>
        <w:t xml:space="preserve">development in the </w:t>
      </w:r>
      <w:r w:rsidR="00915A58" w:rsidRPr="00FB4DD8">
        <w:rPr>
          <w:rFonts w:ascii="Times New Roman" w:hAnsi="Times New Roman"/>
          <w:sz w:val="24"/>
          <w:szCs w:val="24"/>
          <w:lang w:val="en-CA"/>
        </w:rPr>
        <w:t xml:space="preserve">EU </w:t>
      </w:r>
      <w:r w:rsidR="00A76A03">
        <w:rPr>
          <w:rFonts w:ascii="Times New Roman" w:hAnsi="Times New Roman"/>
          <w:sz w:val="24"/>
          <w:szCs w:val="24"/>
          <w:lang w:val="en-CA"/>
        </w:rPr>
        <w:t xml:space="preserve">and its member states </w:t>
      </w:r>
      <w:r w:rsidR="00915A58" w:rsidRPr="00FB4DD8">
        <w:rPr>
          <w:rFonts w:ascii="Times New Roman" w:hAnsi="Times New Roman"/>
          <w:sz w:val="24"/>
          <w:szCs w:val="24"/>
          <w:lang w:val="en-CA"/>
        </w:rPr>
        <w:t xml:space="preserve">in several areas often </w:t>
      </w:r>
      <w:r w:rsidR="00915A58">
        <w:rPr>
          <w:rFonts w:ascii="Times New Roman" w:hAnsi="Times New Roman"/>
          <w:sz w:val="24"/>
          <w:szCs w:val="24"/>
          <w:lang w:val="en-CA"/>
        </w:rPr>
        <w:t>is</w:t>
      </w:r>
      <w:r w:rsidR="00915A58" w:rsidRPr="00FB4DD8">
        <w:rPr>
          <w:rFonts w:ascii="Times New Roman" w:hAnsi="Times New Roman"/>
          <w:sz w:val="24"/>
          <w:szCs w:val="24"/>
          <w:lang w:val="en-CA"/>
        </w:rPr>
        <w:t xml:space="preserve"> more driven by court decisions than by EU formal decisions</w:t>
      </w:r>
      <w:r w:rsidR="00980351">
        <w:rPr>
          <w:rFonts w:ascii="Times New Roman" w:hAnsi="Times New Roman"/>
          <w:sz w:val="24"/>
          <w:szCs w:val="24"/>
          <w:lang w:val="en-CA"/>
        </w:rPr>
        <w:t>, for example</w:t>
      </w:r>
      <w:r w:rsidR="00915A58" w:rsidRPr="00FB4DD8">
        <w:rPr>
          <w:rFonts w:ascii="Times New Roman" w:hAnsi="Times New Roman"/>
          <w:sz w:val="24"/>
          <w:szCs w:val="24"/>
          <w:lang w:val="en-CA"/>
        </w:rPr>
        <w:t xml:space="preserve"> in the area of health care services</w:t>
      </w:r>
      <w:r w:rsidR="00915A58">
        <w:rPr>
          <w:rFonts w:ascii="Times New Roman" w:hAnsi="Times New Roman"/>
          <w:sz w:val="24"/>
          <w:szCs w:val="24"/>
          <w:lang w:val="en-CA"/>
        </w:rPr>
        <w:t xml:space="preserve"> </w:t>
      </w:r>
      <w:r w:rsidR="00980351">
        <w:rPr>
          <w:rFonts w:ascii="Times New Roman" w:hAnsi="Times New Roman"/>
          <w:sz w:val="24"/>
          <w:szCs w:val="24"/>
          <w:lang w:val="en-CA"/>
        </w:rPr>
        <w:t>(</w:t>
      </w:r>
      <w:r w:rsidR="00915A58" w:rsidRPr="00FB4DD8">
        <w:rPr>
          <w:rFonts w:ascii="Times New Roman" w:hAnsi="Times New Roman"/>
          <w:sz w:val="24"/>
          <w:szCs w:val="24"/>
          <w:lang w:val="en-CA"/>
        </w:rPr>
        <w:t xml:space="preserve">Greer, 2011). </w:t>
      </w:r>
      <w:r w:rsidR="00915A58">
        <w:rPr>
          <w:rFonts w:ascii="Times New Roman" w:hAnsi="Times New Roman"/>
          <w:sz w:val="24"/>
          <w:szCs w:val="24"/>
          <w:lang w:val="en-CA"/>
        </w:rPr>
        <w:t xml:space="preserve"> </w:t>
      </w:r>
      <w:r w:rsidR="00980351">
        <w:rPr>
          <w:rFonts w:ascii="Times New Roman" w:hAnsi="Times New Roman"/>
          <w:sz w:val="24"/>
          <w:szCs w:val="24"/>
          <w:lang w:val="en-CA"/>
        </w:rPr>
        <w:t>T</w:t>
      </w:r>
      <w:r w:rsidR="00915A58" w:rsidRPr="00FB4DD8">
        <w:rPr>
          <w:rFonts w:ascii="Times New Roman" w:hAnsi="Times New Roman"/>
          <w:sz w:val="24"/>
          <w:szCs w:val="24"/>
          <w:lang w:val="en-CA"/>
        </w:rPr>
        <w:t>he court</w:t>
      </w:r>
      <w:r w:rsidR="00915A58">
        <w:rPr>
          <w:rFonts w:ascii="Times New Roman" w:hAnsi="Times New Roman"/>
          <w:sz w:val="24"/>
          <w:szCs w:val="24"/>
          <w:lang w:val="en-US"/>
        </w:rPr>
        <w:t>’</w:t>
      </w:r>
      <w:r w:rsidR="00915A58" w:rsidRPr="00FB4DD8">
        <w:rPr>
          <w:rFonts w:ascii="Times New Roman" w:hAnsi="Times New Roman"/>
          <w:sz w:val="24"/>
          <w:szCs w:val="24"/>
          <w:lang w:val="en-CA"/>
        </w:rPr>
        <w:t xml:space="preserve">s starting point </w:t>
      </w:r>
      <w:r w:rsidR="00980351">
        <w:rPr>
          <w:rFonts w:ascii="Times New Roman" w:hAnsi="Times New Roman"/>
          <w:sz w:val="24"/>
          <w:szCs w:val="24"/>
          <w:lang w:val="en-CA"/>
        </w:rPr>
        <w:t xml:space="preserve">in relation to welfare issues </w:t>
      </w:r>
      <w:r w:rsidR="00915A58">
        <w:rPr>
          <w:rFonts w:ascii="Times New Roman" w:hAnsi="Times New Roman"/>
          <w:sz w:val="24"/>
          <w:szCs w:val="24"/>
          <w:lang w:val="en-CA"/>
        </w:rPr>
        <w:t xml:space="preserve">has </w:t>
      </w:r>
      <w:r w:rsidR="00915A58" w:rsidRPr="00FB4DD8">
        <w:rPr>
          <w:rFonts w:ascii="Times New Roman" w:hAnsi="Times New Roman"/>
          <w:sz w:val="24"/>
          <w:szCs w:val="24"/>
          <w:lang w:val="en-CA"/>
        </w:rPr>
        <w:t>been</w:t>
      </w:r>
      <w:r w:rsidR="00980351">
        <w:rPr>
          <w:rFonts w:ascii="Times New Roman" w:hAnsi="Times New Roman"/>
          <w:sz w:val="24"/>
          <w:szCs w:val="24"/>
          <w:lang w:val="en-CA"/>
        </w:rPr>
        <w:t xml:space="preserve"> an interpretation of the aim with</w:t>
      </w:r>
      <w:r w:rsidR="00915A58" w:rsidRPr="00FB4DD8">
        <w:rPr>
          <w:rFonts w:ascii="Times New Roman" w:hAnsi="Times New Roman"/>
          <w:sz w:val="24"/>
          <w:szCs w:val="24"/>
          <w:lang w:val="en-CA"/>
        </w:rPr>
        <w:t xml:space="preserve"> the treaty</w:t>
      </w:r>
      <w:r w:rsidR="00980351">
        <w:rPr>
          <w:rFonts w:ascii="Times New Roman" w:hAnsi="Times New Roman"/>
          <w:sz w:val="24"/>
          <w:szCs w:val="24"/>
          <w:lang w:val="en-CA"/>
        </w:rPr>
        <w:t xml:space="preserve"> including gradual a higher level of integration</w:t>
      </w:r>
      <w:r w:rsidR="00650769">
        <w:rPr>
          <w:rFonts w:ascii="Times New Roman" w:hAnsi="Times New Roman"/>
          <w:sz w:val="24"/>
          <w:szCs w:val="24"/>
          <w:lang w:val="en-CA"/>
        </w:rPr>
        <w:t xml:space="preserve"> and reduction in hindrances</w:t>
      </w:r>
      <w:r w:rsidR="00BA0C3A">
        <w:rPr>
          <w:rFonts w:ascii="Times New Roman" w:hAnsi="Times New Roman"/>
          <w:sz w:val="24"/>
          <w:szCs w:val="24"/>
          <w:lang w:val="en-CA"/>
        </w:rPr>
        <w:t xml:space="preserve"> directly or indirectly</w:t>
      </w:r>
      <w:r w:rsidR="00650769">
        <w:rPr>
          <w:rFonts w:ascii="Times New Roman" w:hAnsi="Times New Roman"/>
          <w:sz w:val="24"/>
          <w:szCs w:val="24"/>
          <w:lang w:val="en-CA"/>
        </w:rPr>
        <w:t xml:space="preserve"> of free-movement</w:t>
      </w:r>
      <w:r w:rsidR="00980351">
        <w:rPr>
          <w:rFonts w:ascii="Times New Roman" w:hAnsi="Times New Roman"/>
          <w:sz w:val="24"/>
          <w:szCs w:val="24"/>
          <w:lang w:val="en-CA"/>
        </w:rPr>
        <w:t>.</w:t>
      </w:r>
      <w:r w:rsidR="00915A58" w:rsidRPr="00FB4DD8">
        <w:rPr>
          <w:rFonts w:ascii="Times New Roman" w:hAnsi="Times New Roman"/>
          <w:sz w:val="24"/>
          <w:szCs w:val="24"/>
          <w:lang w:val="en-CA"/>
        </w:rPr>
        <w:t xml:space="preserve"> </w:t>
      </w:r>
      <w:r w:rsidR="00D713DC">
        <w:rPr>
          <w:rFonts w:ascii="Times New Roman" w:hAnsi="Times New Roman"/>
          <w:sz w:val="24"/>
          <w:szCs w:val="24"/>
          <w:lang w:val="en-CA"/>
        </w:rPr>
        <w:t>T</w:t>
      </w:r>
      <w:r w:rsidR="00980351">
        <w:rPr>
          <w:rFonts w:ascii="Times New Roman" w:hAnsi="Times New Roman"/>
          <w:sz w:val="24"/>
          <w:szCs w:val="24"/>
          <w:lang w:val="en-CA"/>
        </w:rPr>
        <w:t>he implication being</w:t>
      </w:r>
      <w:r w:rsidR="00915A58" w:rsidRPr="00FB4DD8">
        <w:rPr>
          <w:rFonts w:ascii="Times New Roman" w:hAnsi="Times New Roman"/>
          <w:sz w:val="24"/>
          <w:szCs w:val="24"/>
          <w:lang w:val="en-CA"/>
        </w:rPr>
        <w:t xml:space="preserve"> that the EU </w:t>
      </w:r>
      <w:r w:rsidR="00980351">
        <w:rPr>
          <w:rFonts w:ascii="Times New Roman" w:hAnsi="Times New Roman"/>
          <w:sz w:val="24"/>
          <w:szCs w:val="24"/>
          <w:lang w:val="en-CA"/>
        </w:rPr>
        <w:t>ha</w:t>
      </w:r>
      <w:r w:rsidR="00915A58">
        <w:rPr>
          <w:rFonts w:ascii="Times New Roman" w:hAnsi="Times New Roman"/>
          <w:sz w:val="24"/>
          <w:szCs w:val="24"/>
          <w:lang w:val="en-CA"/>
        </w:rPr>
        <w:t>s</w:t>
      </w:r>
      <w:r w:rsidR="00915A58" w:rsidRPr="00FB4DD8">
        <w:rPr>
          <w:rFonts w:ascii="Times New Roman" w:hAnsi="Times New Roman"/>
          <w:sz w:val="24"/>
          <w:szCs w:val="24"/>
          <w:lang w:val="en-CA"/>
        </w:rPr>
        <w:t xml:space="preserve"> </w:t>
      </w:r>
      <w:r w:rsidR="00980351">
        <w:rPr>
          <w:rFonts w:ascii="Times New Roman" w:hAnsi="Times New Roman"/>
          <w:sz w:val="24"/>
          <w:szCs w:val="24"/>
          <w:lang w:val="en-CA"/>
        </w:rPr>
        <w:t xml:space="preserve">been </w:t>
      </w:r>
      <w:r w:rsidR="00915A58" w:rsidRPr="00FB4DD8">
        <w:rPr>
          <w:rFonts w:ascii="Times New Roman" w:hAnsi="Times New Roman"/>
          <w:sz w:val="24"/>
          <w:szCs w:val="24"/>
          <w:lang w:val="en-CA"/>
        </w:rPr>
        <w:t xml:space="preserve">more </w:t>
      </w:r>
      <w:r w:rsidR="00980351">
        <w:rPr>
          <w:rFonts w:ascii="Times New Roman" w:hAnsi="Times New Roman"/>
          <w:sz w:val="24"/>
          <w:szCs w:val="24"/>
          <w:lang w:val="en-CA"/>
        </w:rPr>
        <w:t xml:space="preserve">focussed on use of </w:t>
      </w:r>
      <w:r w:rsidR="00650769">
        <w:rPr>
          <w:rFonts w:ascii="Times New Roman" w:hAnsi="Times New Roman"/>
          <w:sz w:val="24"/>
          <w:szCs w:val="24"/>
          <w:lang w:val="en-CA"/>
        </w:rPr>
        <w:t xml:space="preserve">the </w:t>
      </w:r>
      <w:r w:rsidR="00980351">
        <w:rPr>
          <w:rFonts w:ascii="Times New Roman" w:hAnsi="Times New Roman"/>
          <w:sz w:val="24"/>
          <w:szCs w:val="24"/>
          <w:lang w:val="en-CA"/>
        </w:rPr>
        <w:t>market and thereby</w:t>
      </w:r>
      <w:r w:rsidR="00D713DC">
        <w:rPr>
          <w:rFonts w:ascii="Times New Roman" w:hAnsi="Times New Roman"/>
          <w:sz w:val="24"/>
          <w:szCs w:val="24"/>
          <w:lang w:val="en-CA"/>
        </w:rPr>
        <w:t xml:space="preserve"> </w:t>
      </w:r>
      <w:r w:rsidR="00915A58" w:rsidRPr="00FB4DD8">
        <w:rPr>
          <w:rFonts w:ascii="Times New Roman" w:hAnsi="Times New Roman"/>
          <w:sz w:val="24"/>
          <w:szCs w:val="24"/>
          <w:lang w:val="en-CA"/>
        </w:rPr>
        <w:t>in liberalizing than making formal decision</w:t>
      </w:r>
      <w:r w:rsidR="00915A58">
        <w:rPr>
          <w:rFonts w:ascii="Times New Roman" w:hAnsi="Times New Roman"/>
          <w:sz w:val="24"/>
          <w:szCs w:val="24"/>
          <w:lang w:val="en-CA"/>
        </w:rPr>
        <w:t>s about</w:t>
      </w:r>
      <w:r w:rsidR="00915A58" w:rsidRPr="00FB4DD8">
        <w:rPr>
          <w:rFonts w:ascii="Times New Roman" w:hAnsi="Times New Roman"/>
          <w:sz w:val="24"/>
          <w:szCs w:val="24"/>
          <w:lang w:val="en-CA"/>
        </w:rPr>
        <w:t xml:space="preserve"> how and to what exten</w:t>
      </w:r>
      <w:r w:rsidR="00915A58">
        <w:rPr>
          <w:rFonts w:ascii="Times New Roman" w:hAnsi="Times New Roman"/>
          <w:sz w:val="24"/>
          <w:szCs w:val="24"/>
          <w:lang w:val="en-CA"/>
        </w:rPr>
        <w:t>t</w:t>
      </w:r>
      <w:r w:rsidR="00915A58" w:rsidRPr="00FB4DD8">
        <w:rPr>
          <w:rFonts w:ascii="Times New Roman" w:hAnsi="Times New Roman"/>
          <w:sz w:val="24"/>
          <w:szCs w:val="24"/>
          <w:lang w:val="en-CA"/>
        </w:rPr>
        <w:t xml:space="preserve"> </w:t>
      </w:r>
      <w:r w:rsidR="00650769">
        <w:rPr>
          <w:rFonts w:ascii="Times New Roman" w:hAnsi="Times New Roman"/>
          <w:sz w:val="24"/>
          <w:szCs w:val="24"/>
          <w:lang w:val="en-CA"/>
        </w:rPr>
        <w:t xml:space="preserve">there should be an overall </w:t>
      </w:r>
      <w:r w:rsidR="00980351">
        <w:rPr>
          <w:rFonts w:ascii="Times New Roman" w:hAnsi="Times New Roman"/>
          <w:sz w:val="24"/>
          <w:szCs w:val="24"/>
          <w:lang w:val="en-CA"/>
        </w:rPr>
        <w:t xml:space="preserve">way of </w:t>
      </w:r>
      <w:r w:rsidR="00915A58" w:rsidRPr="00FB4DD8">
        <w:rPr>
          <w:rFonts w:ascii="Times New Roman" w:hAnsi="Times New Roman"/>
          <w:sz w:val="24"/>
          <w:szCs w:val="24"/>
          <w:lang w:val="en-CA"/>
        </w:rPr>
        <w:t xml:space="preserve">regulate welfare </w:t>
      </w:r>
      <w:r w:rsidR="00980351">
        <w:rPr>
          <w:rFonts w:ascii="Times New Roman" w:hAnsi="Times New Roman"/>
          <w:sz w:val="24"/>
          <w:szCs w:val="24"/>
          <w:lang w:val="en-CA"/>
        </w:rPr>
        <w:t>state developments.</w:t>
      </w:r>
      <w:r w:rsidR="00915A58" w:rsidRPr="00FB4DD8">
        <w:rPr>
          <w:rFonts w:ascii="Times New Roman" w:hAnsi="Times New Roman"/>
          <w:sz w:val="24"/>
          <w:szCs w:val="24"/>
          <w:lang w:val="en-CA"/>
        </w:rPr>
        <w:t xml:space="preserve"> </w:t>
      </w:r>
    </w:p>
    <w:p w:rsidR="00915A58" w:rsidRDefault="00980351" w:rsidP="00790EC0">
      <w:pPr>
        <w:spacing w:line="240" w:lineRule="auto"/>
        <w:jc w:val="both"/>
        <w:rPr>
          <w:rFonts w:ascii="Times New Roman" w:hAnsi="Times New Roman"/>
          <w:sz w:val="24"/>
          <w:szCs w:val="24"/>
          <w:lang w:val="en-CA"/>
        </w:rPr>
      </w:pPr>
      <w:r>
        <w:rPr>
          <w:rFonts w:ascii="Times New Roman" w:hAnsi="Times New Roman"/>
          <w:sz w:val="24"/>
          <w:szCs w:val="24"/>
          <w:lang w:val="en-CA"/>
        </w:rPr>
        <w:t>For example, p</w:t>
      </w:r>
      <w:r w:rsidR="00915A58" w:rsidRPr="00FB4DD8">
        <w:rPr>
          <w:rFonts w:ascii="Times New Roman" w:hAnsi="Times New Roman"/>
          <w:sz w:val="24"/>
          <w:szCs w:val="24"/>
          <w:lang w:val="en-CA"/>
        </w:rPr>
        <w:t xml:space="preserve">art of the reason </w:t>
      </w:r>
      <w:r w:rsidR="00915A58">
        <w:rPr>
          <w:rFonts w:ascii="Times New Roman" w:hAnsi="Times New Roman"/>
          <w:sz w:val="24"/>
          <w:szCs w:val="24"/>
          <w:lang w:val="en-CA"/>
        </w:rPr>
        <w:t>why</w:t>
      </w:r>
      <w:r w:rsidR="00915A58" w:rsidRPr="00FB4DD8">
        <w:rPr>
          <w:rFonts w:ascii="Times New Roman" w:hAnsi="Times New Roman"/>
          <w:sz w:val="24"/>
          <w:szCs w:val="24"/>
          <w:lang w:val="en-CA"/>
        </w:rPr>
        <w:t xml:space="preserve"> there have been </w:t>
      </w:r>
      <w:r w:rsidR="00915A58">
        <w:rPr>
          <w:rFonts w:ascii="Times New Roman" w:hAnsi="Times New Roman"/>
          <w:sz w:val="24"/>
          <w:szCs w:val="24"/>
          <w:lang w:val="en-CA"/>
        </w:rPr>
        <w:t>c</w:t>
      </w:r>
      <w:r w:rsidR="00915A58" w:rsidRPr="00FB4DD8">
        <w:rPr>
          <w:rFonts w:ascii="Times New Roman" w:hAnsi="Times New Roman"/>
          <w:sz w:val="24"/>
          <w:szCs w:val="24"/>
          <w:lang w:val="en-CA"/>
        </w:rPr>
        <w:t>ourt decisions in the area of health care is that there has been difficulty in drawing a line between hospital and non-hospital care services. This presumably also explain</w:t>
      </w:r>
      <w:r w:rsidR="00915A58">
        <w:rPr>
          <w:rFonts w:ascii="Times New Roman" w:hAnsi="Times New Roman"/>
          <w:sz w:val="24"/>
          <w:szCs w:val="24"/>
          <w:lang w:val="en-CA"/>
        </w:rPr>
        <w:t>s</w:t>
      </w:r>
      <w:r w:rsidR="00915A58" w:rsidRPr="00FB4DD8">
        <w:rPr>
          <w:rFonts w:ascii="Times New Roman" w:hAnsi="Times New Roman"/>
          <w:sz w:val="24"/>
          <w:szCs w:val="24"/>
          <w:lang w:val="en-CA"/>
        </w:rPr>
        <w:t xml:space="preserve"> why health care was taken out of </w:t>
      </w:r>
      <w:r w:rsidR="00BA0C3A">
        <w:rPr>
          <w:rFonts w:ascii="Times New Roman" w:hAnsi="Times New Roman"/>
          <w:sz w:val="24"/>
          <w:szCs w:val="24"/>
          <w:lang w:val="en-CA"/>
        </w:rPr>
        <w:t>the service directive</w:t>
      </w:r>
      <w:r>
        <w:rPr>
          <w:rFonts w:ascii="Times New Roman" w:hAnsi="Times New Roman"/>
          <w:sz w:val="24"/>
          <w:szCs w:val="24"/>
          <w:lang w:val="en-CA"/>
        </w:rPr>
        <w:t xml:space="preserve">; </w:t>
      </w:r>
      <w:r w:rsidRPr="00FB4DD8">
        <w:rPr>
          <w:rFonts w:ascii="Times New Roman" w:hAnsi="Times New Roman"/>
          <w:sz w:val="24"/>
          <w:szCs w:val="24"/>
          <w:lang w:val="en-CA"/>
        </w:rPr>
        <w:t>implicitly</w:t>
      </w:r>
      <w:r w:rsidR="00915A58" w:rsidRPr="00FB4DD8">
        <w:rPr>
          <w:rFonts w:ascii="Times New Roman" w:hAnsi="Times New Roman"/>
          <w:sz w:val="24"/>
          <w:szCs w:val="24"/>
          <w:lang w:val="en-CA"/>
        </w:rPr>
        <w:t xml:space="preserve"> </w:t>
      </w:r>
      <w:r w:rsidR="00915A58">
        <w:rPr>
          <w:rFonts w:ascii="Times New Roman" w:hAnsi="Times New Roman"/>
          <w:sz w:val="24"/>
          <w:szCs w:val="24"/>
          <w:lang w:val="en-CA"/>
        </w:rPr>
        <w:t xml:space="preserve">this meant </w:t>
      </w:r>
      <w:r w:rsidR="00915A58" w:rsidRPr="00FB4DD8">
        <w:rPr>
          <w:rFonts w:ascii="Times New Roman" w:hAnsi="Times New Roman"/>
          <w:sz w:val="24"/>
          <w:szCs w:val="24"/>
          <w:lang w:val="en-CA"/>
        </w:rPr>
        <w:t>that the court was still left with the free movement of goods and services as the main guid</w:t>
      </w:r>
      <w:r w:rsidR="002826AB">
        <w:rPr>
          <w:rFonts w:ascii="Times New Roman" w:hAnsi="Times New Roman"/>
          <w:sz w:val="24"/>
          <w:szCs w:val="24"/>
          <w:lang w:val="en-CA"/>
        </w:rPr>
        <w:t>ing</w:t>
      </w:r>
      <w:r w:rsidR="00915A58" w:rsidRPr="00FB4DD8">
        <w:rPr>
          <w:rFonts w:ascii="Times New Roman" w:hAnsi="Times New Roman"/>
          <w:sz w:val="24"/>
          <w:szCs w:val="24"/>
          <w:lang w:val="en-CA"/>
        </w:rPr>
        <w:t xml:space="preserve"> line when regulating health care. The distinction made differed based upon whether the person needing treatment ha</w:t>
      </w:r>
      <w:r w:rsidR="00915A58">
        <w:rPr>
          <w:rFonts w:ascii="Times New Roman" w:hAnsi="Times New Roman"/>
          <w:sz w:val="24"/>
          <w:szCs w:val="24"/>
          <w:lang w:val="en-CA"/>
        </w:rPr>
        <w:t>s</w:t>
      </w:r>
      <w:r w:rsidR="00915A58" w:rsidRPr="00FB4DD8">
        <w:rPr>
          <w:rFonts w:ascii="Times New Roman" w:hAnsi="Times New Roman"/>
          <w:sz w:val="24"/>
          <w:szCs w:val="24"/>
          <w:lang w:val="en-CA"/>
        </w:rPr>
        <w:t xml:space="preserve"> to be in the hospital for more than one day. The implication </w:t>
      </w:r>
      <w:r w:rsidR="00915A58">
        <w:rPr>
          <w:rFonts w:ascii="Times New Roman" w:hAnsi="Times New Roman"/>
          <w:sz w:val="24"/>
          <w:szCs w:val="24"/>
          <w:lang w:val="en-CA"/>
        </w:rPr>
        <w:t>is</w:t>
      </w:r>
      <w:r w:rsidR="00915A58" w:rsidRPr="00FB4DD8">
        <w:rPr>
          <w:rFonts w:ascii="Times New Roman" w:hAnsi="Times New Roman"/>
          <w:sz w:val="24"/>
          <w:szCs w:val="24"/>
          <w:lang w:val="en-CA"/>
        </w:rPr>
        <w:t xml:space="preserve"> that day to day services can be treated as part of the free-movement of services</w:t>
      </w:r>
      <w:r w:rsidR="00915A58">
        <w:rPr>
          <w:rFonts w:ascii="Times New Roman" w:hAnsi="Times New Roman"/>
          <w:sz w:val="24"/>
          <w:szCs w:val="24"/>
          <w:lang w:val="en-CA"/>
        </w:rPr>
        <w:t xml:space="preserve">, </w:t>
      </w:r>
      <w:r w:rsidR="00915A58" w:rsidRPr="00FB4DD8">
        <w:rPr>
          <w:rFonts w:ascii="Times New Roman" w:hAnsi="Times New Roman"/>
          <w:sz w:val="24"/>
          <w:szCs w:val="24"/>
          <w:lang w:val="en-CA"/>
        </w:rPr>
        <w:t xml:space="preserve">thereby reducing </w:t>
      </w:r>
      <w:r w:rsidR="00915A58">
        <w:rPr>
          <w:rFonts w:ascii="Times New Roman" w:hAnsi="Times New Roman"/>
          <w:sz w:val="24"/>
          <w:szCs w:val="24"/>
          <w:lang w:val="en-CA"/>
        </w:rPr>
        <w:t xml:space="preserve">a </w:t>
      </w:r>
      <w:r w:rsidR="00915A58" w:rsidRPr="00FB4DD8">
        <w:rPr>
          <w:rFonts w:ascii="Times New Roman" w:hAnsi="Times New Roman"/>
          <w:sz w:val="24"/>
          <w:szCs w:val="24"/>
          <w:lang w:val="en-CA"/>
        </w:rPr>
        <w:t>nation state</w:t>
      </w:r>
      <w:r w:rsidR="00915A58">
        <w:rPr>
          <w:rFonts w:ascii="Times New Roman" w:hAnsi="Times New Roman"/>
          <w:sz w:val="24"/>
          <w:szCs w:val="24"/>
          <w:lang w:val="en-CA"/>
        </w:rPr>
        <w:t>’</w:t>
      </w:r>
      <w:r w:rsidR="00915A58" w:rsidRPr="00FB4DD8">
        <w:rPr>
          <w:rFonts w:ascii="Times New Roman" w:hAnsi="Times New Roman"/>
          <w:sz w:val="24"/>
          <w:szCs w:val="24"/>
          <w:lang w:val="en-CA"/>
        </w:rPr>
        <w:t>s option to regulate the area as part of a welfare approach</w:t>
      </w:r>
      <w:r w:rsidR="002A0CDE">
        <w:rPr>
          <w:rFonts w:ascii="Times New Roman" w:hAnsi="Times New Roman"/>
          <w:sz w:val="24"/>
          <w:szCs w:val="24"/>
          <w:lang w:val="en-CA"/>
        </w:rPr>
        <w:t xml:space="preserve">. </w:t>
      </w:r>
      <w:r w:rsidR="00915A58" w:rsidRPr="00FB4DD8">
        <w:rPr>
          <w:rFonts w:ascii="Times New Roman" w:hAnsi="Times New Roman"/>
          <w:sz w:val="24"/>
          <w:szCs w:val="24"/>
          <w:lang w:val="en-CA"/>
        </w:rPr>
        <w:t xml:space="preserve">To </w:t>
      </w:r>
      <w:r w:rsidR="00915A58">
        <w:rPr>
          <w:rFonts w:ascii="Times New Roman" w:hAnsi="Times New Roman"/>
          <w:sz w:val="24"/>
          <w:szCs w:val="24"/>
          <w:lang w:val="en-CA"/>
        </w:rPr>
        <w:t>state this</w:t>
      </w:r>
      <w:r w:rsidR="00915A58" w:rsidRPr="00FB4DD8">
        <w:rPr>
          <w:rFonts w:ascii="Times New Roman" w:hAnsi="Times New Roman"/>
          <w:sz w:val="24"/>
          <w:szCs w:val="24"/>
          <w:lang w:val="en-CA"/>
        </w:rPr>
        <w:t xml:space="preserve"> </w:t>
      </w:r>
      <w:r>
        <w:rPr>
          <w:rFonts w:ascii="Times New Roman" w:hAnsi="Times New Roman"/>
          <w:sz w:val="24"/>
          <w:szCs w:val="24"/>
          <w:lang w:val="en-CA"/>
        </w:rPr>
        <w:t>even stronger</w:t>
      </w:r>
      <w:r w:rsidR="00915A58" w:rsidRPr="00FB4DD8">
        <w:rPr>
          <w:rFonts w:ascii="Times New Roman" w:hAnsi="Times New Roman"/>
          <w:sz w:val="24"/>
          <w:szCs w:val="24"/>
          <w:lang w:val="en-CA"/>
        </w:rPr>
        <w:t>, “there is essentially no evidence of economic, political, or social supporting coalitions behind the ECJ’s move into he</w:t>
      </w:r>
      <w:r w:rsidR="00A76A03">
        <w:rPr>
          <w:rFonts w:ascii="Times New Roman" w:hAnsi="Times New Roman"/>
          <w:sz w:val="24"/>
          <w:szCs w:val="24"/>
          <w:lang w:val="en-CA"/>
        </w:rPr>
        <w:t>alth care services” (Greer, 2011</w:t>
      </w:r>
      <w:r w:rsidR="00915A58" w:rsidRPr="00FB4DD8">
        <w:rPr>
          <w:rFonts w:ascii="Times New Roman" w:hAnsi="Times New Roman"/>
          <w:sz w:val="24"/>
          <w:szCs w:val="24"/>
          <w:lang w:val="en-CA"/>
        </w:rPr>
        <w:t xml:space="preserve"> p. 191). </w:t>
      </w:r>
    </w:p>
    <w:p w:rsidR="00650769" w:rsidRPr="00FB4DD8" w:rsidRDefault="00650769" w:rsidP="00790EC0">
      <w:pPr>
        <w:spacing w:line="240" w:lineRule="auto"/>
        <w:jc w:val="both"/>
        <w:rPr>
          <w:rFonts w:ascii="Times New Roman" w:hAnsi="Times New Roman"/>
          <w:sz w:val="24"/>
          <w:szCs w:val="24"/>
          <w:lang w:val="en-CA"/>
        </w:rPr>
      </w:pPr>
      <w:r>
        <w:rPr>
          <w:rFonts w:ascii="Times New Roman" w:hAnsi="Times New Roman"/>
          <w:sz w:val="24"/>
          <w:szCs w:val="24"/>
          <w:lang w:val="en-CA"/>
        </w:rPr>
        <w:t xml:space="preserve">It is with this focus of how </w:t>
      </w:r>
      <w:r w:rsidR="009B7B09">
        <w:rPr>
          <w:rFonts w:ascii="Times New Roman" w:hAnsi="Times New Roman"/>
          <w:sz w:val="24"/>
          <w:szCs w:val="24"/>
          <w:lang w:val="en-CA"/>
        </w:rPr>
        <w:t xml:space="preserve">European </w:t>
      </w:r>
      <w:r>
        <w:rPr>
          <w:rFonts w:ascii="Times New Roman" w:hAnsi="Times New Roman"/>
          <w:sz w:val="24"/>
          <w:szCs w:val="24"/>
          <w:lang w:val="en-CA"/>
        </w:rPr>
        <w:t>integration</w:t>
      </w:r>
      <w:r w:rsidR="00BA0C3A">
        <w:rPr>
          <w:rFonts w:ascii="Times New Roman" w:hAnsi="Times New Roman"/>
          <w:sz w:val="24"/>
          <w:szCs w:val="24"/>
          <w:lang w:val="en-CA"/>
        </w:rPr>
        <w:t xml:space="preserve"> influence national welfare states</w:t>
      </w:r>
      <w:r>
        <w:rPr>
          <w:rFonts w:ascii="Times New Roman" w:hAnsi="Times New Roman"/>
          <w:sz w:val="24"/>
          <w:szCs w:val="24"/>
          <w:lang w:val="en-CA"/>
        </w:rPr>
        <w:t>, especially through the free-movement, that the following section looks into the impact on a universal welfare state: Denmark.</w:t>
      </w:r>
    </w:p>
    <w:p w:rsidR="003873F1" w:rsidRDefault="003873F1" w:rsidP="00790EC0">
      <w:pPr>
        <w:spacing w:line="240" w:lineRule="auto"/>
        <w:jc w:val="both"/>
        <w:rPr>
          <w:rFonts w:ascii="Times New Roman" w:hAnsi="Times New Roman"/>
          <w:sz w:val="24"/>
          <w:szCs w:val="24"/>
          <w:lang w:val="en-CA"/>
        </w:rPr>
      </w:pPr>
    </w:p>
    <w:p w:rsidR="003873F1" w:rsidRDefault="002826AB" w:rsidP="00790EC0">
      <w:pPr>
        <w:pStyle w:val="Overskrift3"/>
        <w:spacing w:line="240" w:lineRule="auto"/>
        <w:rPr>
          <w:lang w:val="en-CA"/>
        </w:rPr>
      </w:pPr>
      <w:r>
        <w:rPr>
          <w:lang w:val="en-CA"/>
        </w:rPr>
        <w:t>4</w:t>
      </w:r>
      <w:r w:rsidR="00BA0C3A">
        <w:rPr>
          <w:lang w:val="en-CA"/>
        </w:rPr>
        <w:t xml:space="preserve"> Changes in welfare approach</w:t>
      </w:r>
      <w:r w:rsidR="003873F1">
        <w:rPr>
          <w:lang w:val="en-CA"/>
        </w:rPr>
        <w:t xml:space="preserve"> in Denmark as a consequen</w:t>
      </w:r>
      <w:r w:rsidR="00BA0C3A">
        <w:rPr>
          <w:lang w:val="en-CA"/>
        </w:rPr>
        <w:t>ce of the free-movement</w:t>
      </w:r>
    </w:p>
    <w:p w:rsidR="003873F1" w:rsidRDefault="003873F1" w:rsidP="00790EC0">
      <w:pPr>
        <w:spacing w:line="240" w:lineRule="auto"/>
        <w:rPr>
          <w:lang w:val="en-CA"/>
        </w:rPr>
      </w:pPr>
    </w:p>
    <w:p w:rsidR="00D05376" w:rsidRDefault="00D05376" w:rsidP="00790EC0">
      <w:pPr>
        <w:spacing w:line="240" w:lineRule="auto"/>
        <w:jc w:val="both"/>
        <w:rPr>
          <w:rFonts w:ascii="Times New Roman" w:hAnsi="Times New Roman"/>
          <w:sz w:val="24"/>
          <w:szCs w:val="24"/>
          <w:lang w:val="en-CA"/>
        </w:rPr>
      </w:pPr>
      <w:r>
        <w:rPr>
          <w:rFonts w:ascii="Times New Roman" w:hAnsi="Times New Roman"/>
          <w:sz w:val="24"/>
          <w:szCs w:val="24"/>
          <w:lang w:val="en-CA"/>
        </w:rPr>
        <w:t>In a universal welfare state</w:t>
      </w:r>
      <w:r w:rsidR="009B7B09">
        <w:rPr>
          <w:rFonts w:ascii="Times New Roman" w:hAnsi="Times New Roman"/>
          <w:sz w:val="24"/>
          <w:szCs w:val="24"/>
          <w:lang w:val="en-CA"/>
        </w:rPr>
        <w:t>,</w:t>
      </w:r>
      <w:r>
        <w:rPr>
          <w:rFonts w:ascii="Times New Roman" w:hAnsi="Times New Roman"/>
          <w:sz w:val="24"/>
          <w:szCs w:val="24"/>
          <w:lang w:val="en-CA"/>
        </w:rPr>
        <w:t xml:space="preserve"> as the Danish</w:t>
      </w:r>
      <w:r w:rsidR="009B7B09">
        <w:rPr>
          <w:rFonts w:ascii="Times New Roman" w:hAnsi="Times New Roman"/>
          <w:sz w:val="24"/>
          <w:szCs w:val="24"/>
          <w:lang w:val="en-CA"/>
        </w:rPr>
        <w:t>,</w:t>
      </w:r>
      <w:r>
        <w:rPr>
          <w:rFonts w:ascii="Times New Roman" w:hAnsi="Times New Roman"/>
          <w:sz w:val="24"/>
          <w:szCs w:val="24"/>
          <w:lang w:val="en-CA"/>
        </w:rPr>
        <w:t xml:space="preserve"> it can have important implications if the basic </w:t>
      </w:r>
      <w:r w:rsidR="00A76A03">
        <w:rPr>
          <w:rFonts w:ascii="Times New Roman" w:hAnsi="Times New Roman"/>
          <w:sz w:val="24"/>
          <w:szCs w:val="24"/>
          <w:lang w:val="en-CA"/>
        </w:rPr>
        <w:t xml:space="preserve">criteria for </w:t>
      </w:r>
      <w:r w:rsidR="00BA0C3A">
        <w:rPr>
          <w:rFonts w:ascii="Times New Roman" w:hAnsi="Times New Roman"/>
          <w:sz w:val="24"/>
          <w:szCs w:val="24"/>
          <w:lang w:val="en-CA"/>
        </w:rPr>
        <w:t xml:space="preserve">receiving </w:t>
      </w:r>
      <w:r w:rsidR="00A76A03">
        <w:rPr>
          <w:rFonts w:ascii="Times New Roman" w:hAnsi="Times New Roman"/>
          <w:sz w:val="24"/>
          <w:szCs w:val="24"/>
          <w:lang w:val="en-CA"/>
        </w:rPr>
        <w:t xml:space="preserve">benefits as a citizen or legally living as a person in Denmark are </w:t>
      </w:r>
      <w:r w:rsidR="002A0CDE">
        <w:rPr>
          <w:rFonts w:ascii="Times New Roman" w:hAnsi="Times New Roman"/>
          <w:sz w:val="24"/>
          <w:szCs w:val="24"/>
          <w:lang w:val="en-CA"/>
        </w:rPr>
        <w:t>undermine</w:t>
      </w:r>
      <w:r w:rsidR="00A76A03">
        <w:rPr>
          <w:rFonts w:ascii="Times New Roman" w:hAnsi="Times New Roman"/>
          <w:sz w:val="24"/>
          <w:szCs w:val="24"/>
          <w:lang w:val="en-CA"/>
        </w:rPr>
        <w:t>d by EU regulation or court decisions</w:t>
      </w:r>
      <w:r>
        <w:rPr>
          <w:rFonts w:ascii="Times New Roman" w:hAnsi="Times New Roman"/>
          <w:sz w:val="24"/>
          <w:szCs w:val="24"/>
          <w:lang w:val="en-CA"/>
        </w:rPr>
        <w:t xml:space="preserve">. Undermining can be related </w:t>
      </w:r>
      <w:r w:rsidR="002A0CDE">
        <w:rPr>
          <w:rFonts w:ascii="Times New Roman" w:hAnsi="Times New Roman"/>
          <w:sz w:val="24"/>
          <w:szCs w:val="24"/>
          <w:lang w:val="en-CA"/>
        </w:rPr>
        <w:t xml:space="preserve">to </w:t>
      </w:r>
      <w:r>
        <w:rPr>
          <w:rFonts w:ascii="Times New Roman" w:hAnsi="Times New Roman"/>
          <w:sz w:val="24"/>
          <w:szCs w:val="24"/>
          <w:lang w:val="en-CA"/>
        </w:rPr>
        <w:t>the welfare states legitimacy, the financing of the welfare state or the inner cohesion of the welfare state. Focus here is on whether the free-movement and rules and understanding hereof has de facto implied changes in t</w:t>
      </w:r>
      <w:r w:rsidR="002A0CDE">
        <w:rPr>
          <w:rFonts w:ascii="Times New Roman" w:hAnsi="Times New Roman"/>
          <w:sz w:val="24"/>
          <w:szCs w:val="24"/>
          <w:lang w:val="en-CA"/>
        </w:rPr>
        <w:t>he Danish welfare state or</w:t>
      </w:r>
      <w:r>
        <w:rPr>
          <w:rFonts w:ascii="Times New Roman" w:hAnsi="Times New Roman"/>
          <w:sz w:val="24"/>
          <w:szCs w:val="24"/>
          <w:lang w:val="en-CA"/>
        </w:rPr>
        <w:t xml:space="preserve"> changes as a consequence either of the understanding </w:t>
      </w:r>
      <w:r w:rsidR="002A0CDE">
        <w:rPr>
          <w:rFonts w:ascii="Times New Roman" w:hAnsi="Times New Roman"/>
          <w:sz w:val="24"/>
          <w:szCs w:val="24"/>
          <w:lang w:val="en-CA"/>
        </w:rPr>
        <w:t>of social rights</w:t>
      </w:r>
      <w:r w:rsidR="00C83FFD">
        <w:rPr>
          <w:rFonts w:ascii="Times New Roman" w:hAnsi="Times New Roman"/>
          <w:sz w:val="24"/>
          <w:szCs w:val="24"/>
          <w:lang w:val="en-CA"/>
        </w:rPr>
        <w:t>,</w:t>
      </w:r>
      <w:r>
        <w:rPr>
          <w:rFonts w:ascii="Times New Roman" w:hAnsi="Times New Roman"/>
          <w:sz w:val="24"/>
          <w:szCs w:val="24"/>
          <w:lang w:val="en-CA"/>
        </w:rPr>
        <w:t xml:space="preserve"> due to recent court cases</w:t>
      </w:r>
      <w:r w:rsidR="00C83FFD">
        <w:rPr>
          <w:rFonts w:ascii="Times New Roman" w:hAnsi="Times New Roman"/>
          <w:sz w:val="24"/>
          <w:szCs w:val="24"/>
          <w:lang w:val="en-CA"/>
        </w:rPr>
        <w:t xml:space="preserve"> or viewpoints of the commission</w:t>
      </w:r>
      <w:r>
        <w:rPr>
          <w:rFonts w:ascii="Times New Roman" w:hAnsi="Times New Roman"/>
          <w:sz w:val="24"/>
          <w:szCs w:val="24"/>
          <w:lang w:val="en-CA"/>
        </w:rPr>
        <w:t xml:space="preserve">. </w:t>
      </w:r>
      <w:r w:rsidR="00D320DB">
        <w:rPr>
          <w:rFonts w:ascii="Times New Roman" w:hAnsi="Times New Roman"/>
          <w:sz w:val="24"/>
          <w:szCs w:val="24"/>
          <w:lang w:val="en-CA"/>
        </w:rPr>
        <w:t>Even</w:t>
      </w:r>
      <w:r w:rsidR="00D713DC">
        <w:rPr>
          <w:rFonts w:ascii="Times New Roman" w:hAnsi="Times New Roman"/>
          <w:sz w:val="24"/>
          <w:szCs w:val="24"/>
          <w:lang w:val="en-CA"/>
        </w:rPr>
        <w:t xml:space="preserve"> </w:t>
      </w:r>
      <w:r w:rsidR="00D320DB">
        <w:rPr>
          <w:rFonts w:ascii="Times New Roman" w:hAnsi="Times New Roman"/>
          <w:sz w:val="24"/>
          <w:szCs w:val="24"/>
          <w:lang w:val="en-CA"/>
        </w:rPr>
        <w:t xml:space="preserve">though the case specifically is Denmark it will be argued that </w:t>
      </w:r>
      <w:r w:rsidR="00A76A03">
        <w:rPr>
          <w:rFonts w:ascii="Times New Roman" w:hAnsi="Times New Roman"/>
          <w:sz w:val="24"/>
          <w:szCs w:val="24"/>
          <w:lang w:val="en-CA"/>
        </w:rPr>
        <w:t>changes</w:t>
      </w:r>
      <w:r w:rsidR="00D320DB">
        <w:rPr>
          <w:rFonts w:ascii="Times New Roman" w:hAnsi="Times New Roman"/>
          <w:sz w:val="24"/>
          <w:szCs w:val="24"/>
          <w:lang w:val="en-CA"/>
        </w:rPr>
        <w:t xml:space="preserve"> is in principle far reaching for other </w:t>
      </w:r>
      <w:r w:rsidR="00A76A03">
        <w:rPr>
          <w:rFonts w:ascii="Times New Roman" w:hAnsi="Times New Roman"/>
          <w:sz w:val="24"/>
          <w:szCs w:val="24"/>
          <w:lang w:val="en-CA"/>
        </w:rPr>
        <w:t xml:space="preserve">countries </w:t>
      </w:r>
      <w:r w:rsidR="00D320DB">
        <w:rPr>
          <w:rFonts w:ascii="Times New Roman" w:hAnsi="Times New Roman"/>
          <w:sz w:val="24"/>
          <w:szCs w:val="24"/>
          <w:lang w:val="en-CA"/>
        </w:rPr>
        <w:t>social security systems having universality in either part of or the whole social security system.</w:t>
      </w:r>
      <w:r w:rsidR="00C83FFD">
        <w:rPr>
          <w:rFonts w:ascii="Times New Roman" w:hAnsi="Times New Roman"/>
          <w:sz w:val="24"/>
          <w:szCs w:val="24"/>
          <w:lang w:val="en-CA"/>
        </w:rPr>
        <w:t xml:space="preserve"> The analysis will be based upon official documents</w:t>
      </w:r>
      <w:r w:rsidR="002826AB">
        <w:rPr>
          <w:rFonts w:ascii="Times New Roman" w:hAnsi="Times New Roman"/>
          <w:sz w:val="24"/>
          <w:szCs w:val="24"/>
          <w:lang w:val="en-CA"/>
        </w:rPr>
        <w:t>, and will cover the central</w:t>
      </w:r>
      <w:r w:rsidR="0017780C">
        <w:rPr>
          <w:rFonts w:ascii="Times New Roman" w:hAnsi="Times New Roman"/>
          <w:sz w:val="24"/>
          <w:szCs w:val="24"/>
          <w:lang w:val="en-CA"/>
        </w:rPr>
        <w:t xml:space="preserve"> </w:t>
      </w:r>
      <w:r w:rsidR="00BA0C3A">
        <w:rPr>
          <w:rFonts w:ascii="Times New Roman" w:hAnsi="Times New Roman"/>
          <w:sz w:val="24"/>
          <w:szCs w:val="24"/>
          <w:lang w:val="en-CA"/>
        </w:rPr>
        <w:t>income transfer</w:t>
      </w:r>
      <w:r w:rsidR="0017780C">
        <w:rPr>
          <w:rFonts w:ascii="Times New Roman" w:hAnsi="Times New Roman"/>
          <w:sz w:val="24"/>
          <w:szCs w:val="24"/>
          <w:lang w:val="en-CA"/>
        </w:rPr>
        <w:t xml:space="preserve"> areas, however especially with a focus on recent changes</w:t>
      </w:r>
      <w:r w:rsidR="00C83FFD">
        <w:rPr>
          <w:rFonts w:ascii="Times New Roman" w:hAnsi="Times New Roman"/>
          <w:sz w:val="24"/>
          <w:szCs w:val="24"/>
          <w:lang w:val="en-CA"/>
        </w:rPr>
        <w:t>.</w:t>
      </w:r>
    </w:p>
    <w:p w:rsidR="0017780C" w:rsidRDefault="00FC375B" w:rsidP="00790EC0">
      <w:pPr>
        <w:spacing w:line="240" w:lineRule="auto"/>
        <w:jc w:val="both"/>
        <w:rPr>
          <w:rFonts w:ascii="Times New Roman" w:hAnsi="Times New Roman"/>
          <w:sz w:val="24"/>
          <w:szCs w:val="24"/>
          <w:lang w:val="en-CA"/>
        </w:rPr>
      </w:pPr>
      <w:r>
        <w:rPr>
          <w:rFonts w:ascii="Times New Roman" w:hAnsi="Times New Roman"/>
          <w:sz w:val="24"/>
          <w:szCs w:val="24"/>
          <w:lang w:val="en-CA"/>
        </w:rPr>
        <w:lastRenderedPageBreak/>
        <w:t>Already when Denmark entered the European Union it was necessary to change the fully universal access to the state</w:t>
      </w:r>
      <w:r w:rsidR="00A76A03">
        <w:rPr>
          <w:rFonts w:ascii="Times New Roman" w:hAnsi="Times New Roman"/>
          <w:sz w:val="24"/>
          <w:szCs w:val="24"/>
          <w:lang w:val="en-CA"/>
        </w:rPr>
        <w:t xml:space="preserve"> basic</w:t>
      </w:r>
      <w:r>
        <w:rPr>
          <w:rFonts w:ascii="Times New Roman" w:hAnsi="Times New Roman"/>
          <w:sz w:val="24"/>
          <w:szCs w:val="24"/>
          <w:lang w:val="en-CA"/>
        </w:rPr>
        <w:t xml:space="preserve"> pension system</w:t>
      </w:r>
      <w:r w:rsidR="00C83FFD">
        <w:rPr>
          <w:rFonts w:ascii="Times New Roman" w:hAnsi="Times New Roman"/>
          <w:sz w:val="24"/>
          <w:szCs w:val="24"/>
          <w:lang w:val="en-CA"/>
        </w:rPr>
        <w:t>, where the only rule</w:t>
      </w:r>
      <w:r w:rsidR="009B7B09">
        <w:rPr>
          <w:rFonts w:ascii="Times New Roman" w:hAnsi="Times New Roman"/>
          <w:sz w:val="24"/>
          <w:szCs w:val="24"/>
          <w:lang w:val="en-CA"/>
        </w:rPr>
        <w:t xml:space="preserve"> for receiving pensions</w:t>
      </w:r>
      <w:r w:rsidR="00C83FFD">
        <w:rPr>
          <w:rFonts w:ascii="Times New Roman" w:hAnsi="Times New Roman"/>
          <w:sz w:val="24"/>
          <w:szCs w:val="24"/>
          <w:lang w:val="en-CA"/>
        </w:rPr>
        <w:t xml:space="preserve"> was reaching the pension age,</w:t>
      </w:r>
      <w:r>
        <w:rPr>
          <w:rFonts w:ascii="Times New Roman" w:hAnsi="Times New Roman"/>
          <w:sz w:val="24"/>
          <w:szCs w:val="24"/>
          <w:lang w:val="en-CA"/>
        </w:rPr>
        <w:t xml:space="preserve"> towards a system with a rights to pension depending on the number of years living in Denmark, implying that there is a demand now for having stayed 40 years in Denmark, as in many other Nordic countries, in order to obtain the maximum state pension.</w:t>
      </w:r>
      <w:r w:rsidR="003E52A6">
        <w:rPr>
          <w:rFonts w:ascii="Times New Roman" w:hAnsi="Times New Roman"/>
          <w:sz w:val="24"/>
          <w:szCs w:val="24"/>
          <w:lang w:val="en-CA"/>
        </w:rPr>
        <w:t xml:space="preserve"> There is </w:t>
      </w:r>
      <w:r w:rsidR="00C83FFD">
        <w:rPr>
          <w:rFonts w:ascii="Times New Roman" w:hAnsi="Times New Roman"/>
          <w:sz w:val="24"/>
          <w:szCs w:val="24"/>
          <w:lang w:val="en-CA"/>
        </w:rPr>
        <w:t xml:space="preserve">also a requirement to have </w:t>
      </w:r>
      <w:r w:rsidR="0017780C">
        <w:rPr>
          <w:rFonts w:ascii="Times New Roman" w:hAnsi="Times New Roman"/>
          <w:sz w:val="24"/>
          <w:szCs w:val="24"/>
          <w:lang w:val="en-CA"/>
        </w:rPr>
        <w:t xml:space="preserve">lived </w:t>
      </w:r>
      <w:r w:rsidR="003E52A6">
        <w:rPr>
          <w:rFonts w:ascii="Times New Roman" w:hAnsi="Times New Roman"/>
          <w:sz w:val="24"/>
          <w:szCs w:val="24"/>
          <w:lang w:val="en-CA"/>
        </w:rPr>
        <w:t xml:space="preserve">in Denmark </w:t>
      </w:r>
      <w:r w:rsidR="00C83FFD">
        <w:rPr>
          <w:rFonts w:ascii="Times New Roman" w:hAnsi="Times New Roman"/>
          <w:sz w:val="24"/>
          <w:szCs w:val="24"/>
          <w:lang w:val="en-CA"/>
        </w:rPr>
        <w:t>after the age of 15</w:t>
      </w:r>
      <w:r w:rsidR="0017780C">
        <w:rPr>
          <w:rFonts w:ascii="Times New Roman" w:hAnsi="Times New Roman"/>
          <w:sz w:val="24"/>
          <w:szCs w:val="24"/>
          <w:lang w:val="en-CA"/>
        </w:rPr>
        <w:t xml:space="preserve"> most of the time in order to </w:t>
      </w:r>
      <w:r w:rsidR="00BD6DC4">
        <w:rPr>
          <w:rFonts w:ascii="Times New Roman" w:hAnsi="Times New Roman"/>
          <w:sz w:val="24"/>
          <w:szCs w:val="24"/>
          <w:lang w:val="en-CA"/>
        </w:rPr>
        <w:t xml:space="preserve">be </w:t>
      </w:r>
      <w:r w:rsidR="0017780C">
        <w:rPr>
          <w:rFonts w:ascii="Times New Roman" w:hAnsi="Times New Roman"/>
          <w:sz w:val="24"/>
          <w:szCs w:val="24"/>
          <w:lang w:val="en-CA"/>
        </w:rPr>
        <w:t xml:space="preserve">able to receive full disability pension, otherwise it will be calculated as </w:t>
      </w:r>
      <w:r w:rsidR="00BD6DC4">
        <w:rPr>
          <w:rFonts w:ascii="Times New Roman" w:hAnsi="Times New Roman"/>
          <w:sz w:val="24"/>
          <w:szCs w:val="24"/>
          <w:lang w:val="en-CA"/>
        </w:rPr>
        <w:t xml:space="preserve">only a </w:t>
      </w:r>
      <w:r w:rsidR="0017780C">
        <w:rPr>
          <w:rFonts w:ascii="Times New Roman" w:hAnsi="Times New Roman"/>
          <w:sz w:val="24"/>
          <w:szCs w:val="24"/>
          <w:lang w:val="en-CA"/>
        </w:rPr>
        <w:t>part of the pension</w:t>
      </w:r>
      <w:r w:rsidR="00BD6DC4">
        <w:rPr>
          <w:rFonts w:ascii="Times New Roman" w:hAnsi="Times New Roman"/>
          <w:sz w:val="24"/>
          <w:szCs w:val="24"/>
          <w:lang w:val="en-CA"/>
        </w:rPr>
        <w:t xml:space="preserve"> benefit</w:t>
      </w:r>
      <w:r w:rsidR="0017780C">
        <w:rPr>
          <w:rFonts w:ascii="Times New Roman" w:hAnsi="Times New Roman"/>
          <w:sz w:val="24"/>
          <w:szCs w:val="24"/>
          <w:lang w:val="en-CA"/>
        </w:rPr>
        <w:t xml:space="preserve"> </w:t>
      </w:r>
      <w:r w:rsidR="003E52A6">
        <w:rPr>
          <w:rFonts w:ascii="Times New Roman" w:hAnsi="Times New Roman"/>
          <w:sz w:val="24"/>
          <w:szCs w:val="24"/>
          <w:lang w:val="en-CA"/>
        </w:rPr>
        <w:t xml:space="preserve">(Regeringen, 2011). The disability and the old age pension </w:t>
      </w:r>
      <w:r w:rsidR="0017780C">
        <w:rPr>
          <w:rFonts w:ascii="Times New Roman" w:hAnsi="Times New Roman"/>
          <w:sz w:val="24"/>
          <w:szCs w:val="24"/>
          <w:lang w:val="en-CA"/>
        </w:rPr>
        <w:t>are</w:t>
      </w:r>
      <w:r w:rsidR="00BA0C3A">
        <w:rPr>
          <w:rFonts w:ascii="Times New Roman" w:hAnsi="Times New Roman"/>
          <w:sz w:val="24"/>
          <w:szCs w:val="24"/>
          <w:lang w:val="en-CA"/>
        </w:rPr>
        <w:t>,</w:t>
      </w:r>
      <w:r w:rsidR="003E52A6">
        <w:rPr>
          <w:rFonts w:ascii="Times New Roman" w:hAnsi="Times New Roman"/>
          <w:sz w:val="24"/>
          <w:szCs w:val="24"/>
          <w:lang w:val="en-CA"/>
        </w:rPr>
        <w:t xml:space="preserve"> when first been eligible</w:t>
      </w:r>
      <w:r w:rsidR="00BA0C3A">
        <w:rPr>
          <w:rFonts w:ascii="Times New Roman" w:hAnsi="Times New Roman"/>
          <w:sz w:val="24"/>
          <w:szCs w:val="24"/>
          <w:lang w:val="en-CA"/>
        </w:rPr>
        <w:t>,</w:t>
      </w:r>
      <w:r w:rsidR="003E52A6">
        <w:rPr>
          <w:rFonts w:ascii="Times New Roman" w:hAnsi="Times New Roman"/>
          <w:sz w:val="24"/>
          <w:szCs w:val="24"/>
          <w:lang w:val="en-CA"/>
        </w:rPr>
        <w:t xml:space="preserve"> transferable if one starts to live in another country. </w:t>
      </w:r>
      <w:r w:rsidR="0017780C">
        <w:rPr>
          <w:rFonts w:ascii="Times New Roman" w:hAnsi="Times New Roman"/>
          <w:sz w:val="24"/>
          <w:szCs w:val="24"/>
          <w:lang w:val="en-CA"/>
        </w:rPr>
        <w:t>So, in the pension system the universality approach has been reduced already when entering the European Union as there is now also a demand for having stayed or worked in Denmark</w:t>
      </w:r>
      <w:r w:rsidR="00BA0C3A">
        <w:rPr>
          <w:rFonts w:ascii="Times New Roman" w:hAnsi="Times New Roman"/>
          <w:sz w:val="24"/>
          <w:szCs w:val="24"/>
          <w:lang w:val="en-CA"/>
        </w:rPr>
        <w:t xml:space="preserve"> for 40 years</w:t>
      </w:r>
      <w:r w:rsidR="0017780C">
        <w:rPr>
          <w:rFonts w:ascii="Times New Roman" w:hAnsi="Times New Roman"/>
          <w:sz w:val="24"/>
          <w:szCs w:val="24"/>
          <w:lang w:val="en-CA"/>
        </w:rPr>
        <w:t xml:space="preserve"> in order to obtain the full pension.</w:t>
      </w:r>
    </w:p>
    <w:p w:rsidR="0017780C" w:rsidRDefault="0017780C" w:rsidP="00790EC0">
      <w:pPr>
        <w:spacing w:line="240" w:lineRule="auto"/>
        <w:jc w:val="both"/>
        <w:rPr>
          <w:rFonts w:ascii="Times New Roman" w:hAnsi="Times New Roman"/>
          <w:sz w:val="24"/>
          <w:szCs w:val="24"/>
          <w:lang w:val="en-CA"/>
        </w:rPr>
      </w:pPr>
      <w:r>
        <w:rPr>
          <w:rFonts w:ascii="Times New Roman" w:hAnsi="Times New Roman"/>
          <w:sz w:val="24"/>
          <w:szCs w:val="24"/>
          <w:lang w:val="en-CA"/>
        </w:rPr>
        <w:t>Regarding sickness benefit there is</w:t>
      </w:r>
      <w:r w:rsidR="003E52A6">
        <w:rPr>
          <w:rFonts w:ascii="Times New Roman" w:hAnsi="Times New Roman"/>
          <w:sz w:val="24"/>
          <w:szCs w:val="24"/>
          <w:lang w:val="en-CA"/>
        </w:rPr>
        <w:t xml:space="preserve"> no time limit for living in Denmark to receive sickness benefit</w:t>
      </w:r>
      <w:r>
        <w:rPr>
          <w:rFonts w:ascii="Times New Roman" w:hAnsi="Times New Roman"/>
          <w:sz w:val="24"/>
          <w:szCs w:val="24"/>
          <w:lang w:val="en-CA"/>
        </w:rPr>
        <w:t>. This presumably due to that</w:t>
      </w:r>
      <w:r w:rsidR="003E52A6">
        <w:rPr>
          <w:rFonts w:ascii="Times New Roman" w:hAnsi="Times New Roman"/>
          <w:sz w:val="24"/>
          <w:szCs w:val="24"/>
          <w:lang w:val="en-CA"/>
        </w:rPr>
        <w:t xml:space="preserve"> the first 21 one days is paid by employers</w:t>
      </w:r>
      <w:r w:rsidR="005F70DE">
        <w:rPr>
          <w:rFonts w:ascii="Times New Roman" w:hAnsi="Times New Roman"/>
          <w:sz w:val="24"/>
          <w:szCs w:val="24"/>
          <w:lang w:val="en-CA"/>
        </w:rPr>
        <w:t xml:space="preserve"> where one should have been employed for at least 8 weeks with a minim</w:t>
      </w:r>
      <w:r w:rsidR="009B7B09">
        <w:rPr>
          <w:rFonts w:ascii="Times New Roman" w:hAnsi="Times New Roman"/>
          <w:sz w:val="24"/>
          <w:szCs w:val="24"/>
          <w:lang w:val="en-CA"/>
        </w:rPr>
        <w:t>um</w:t>
      </w:r>
      <w:r w:rsidR="005F70DE">
        <w:rPr>
          <w:rFonts w:ascii="Times New Roman" w:hAnsi="Times New Roman"/>
          <w:sz w:val="24"/>
          <w:szCs w:val="24"/>
          <w:lang w:val="en-CA"/>
        </w:rPr>
        <w:t xml:space="preserve"> of 74 hours of work. To receive state sickness benefit a total of 13 weeks connection to the labour market with at least 120 hours should be </w:t>
      </w:r>
      <w:r w:rsidR="00B33F11">
        <w:rPr>
          <w:rFonts w:ascii="Times New Roman" w:hAnsi="Times New Roman"/>
          <w:sz w:val="24"/>
          <w:szCs w:val="24"/>
          <w:lang w:val="en-CA"/>
        </w:rPr>
        <w:t>documented</w:t>
      </w:r>
      <w:r w:rsidR="005F70DE">
        <w:rPr>
          <w:rFonts w:ascii="Times New Roman" w:hAnsi="Times New Roman"/>
          <w:sz w:val="24"/>
          <w:szCs w:val="24"/>
          <w:lang w:val="en-CA"/>
        </w:rPr>
        <w:t>. T</w:t>
      </w:r>
      <w:r w:rsidR="003E52A6">
        <w:rPr>
          <w:rFonts w:ascii="Times New Roman" w:hAnsi="Times New Roman"/>
          <w:sz w:val="24"/>
          <w:szCs w:val="24"/>
          <w:lang w:val="en-CA"/>
        </w:rPr>
        <w:t>hus</w:t>
      </w:r>
      <w:r w:rsidR="005F70DE">
        <w:rPr>
          <w:rFonts w:ascii="Times New Roman" w:hAnsi="Times New Roman"/>
          <w:sz w:val="24"/>
          <w:szCs w:val="24"/>
          <w:lang w:val="en-CA"/>
        </w:rPr>
        <w:t xml:space="preserve"> this seems to be</w:t>
      </w:r>
      <w:r w:rsidR="003E52A6">
        <w:rPr>
          <w:rFonts w:ascii="Times New Roman" w:hAnsi="Times New Roman"/>
          <w:sz w:val="24"/>
          <w:szCs w:val="24"/>
          <w:lang w:val="en-CA"/>
        </w:rPr>
        <w:t xml:space="preserve"> less a risk for the universal welfare state, although as also argued in the report </w:t>
      </w:r>
      <w:r>
        <w:rPr>
          <w:rFonts w:ascii="Times New Roman" w:hAnsi="Times New Roman"/>
          <w:sz w:val="24"/>
          <w:szCs w:val="24"/>
          <w:lang w:val="en-CA"/>
        </w:rPr>
        <w:t xml:space="preserve">(Regeringen, 2011) </w:t>
      </w:r>
      <w:r w:rsidR="009B7B09">
        <w:rPr>
          <w:rFonts w:ascii="Times New Roman" w:hAnsi="Times New Roman"/>
          <w:sz w:val="24"/>
          <w:szCs w:val="24"/>
          <w:lang w:val="en-CA"/>
        </w:rPr>
        <w:t xml:space="preserve">that </w:t>
      </w:r>
      <w:r w:rsidR="003E52A6">
        <w:rPr>
          <w:rFonts w:ascii="Times New Roman" w:hAnsi="Times New Roman"/>
          <w:sz w:val="24"/>
          <w:szCs w:val="24"/>
          <w:lang w:val="en-CA"/>
        </w:rPr>
        <w:t xml:space="preserve">the </w:t>
      </w:r>
      <w:r w:rsidR="00BA0C3A">
        <w:rPr>
          <w:rFonts w:ascii="Times New Roman" w:hAnsi="Times New Roman"/>
          <w:sz w:val="24"/>
          <w:szCs w:val="24"/>
          <w:lang w:val="en-CA"/>
        </w:rPr>
        <w:t>option to follow up to control that, for example, sickness benefits should still be paid out is</w:t>
      </w:r>
      <w:r w:rsidR="003E52A6">
        <w:rPr>
          <w:rFonts w:ascii="Times New Roman" w:hAnsi="Times New Roman"/>
          <w:sz w:val="24"/>
          <w:szCs w:val="24"/>
          <w:lang w:val="en-CA"/>
        </w:rPr>
        <w:t xml:space="preserve"> difficult when a person </w:t>
      </w:r>
      <w:r>
        <w:rPr>
          <w:rFonts w:ascii="Times New Roman" w:hAnsi="Times New Roman"/>
          <w:sz w:val="24"/>
          <w:szCs w:val="24"/>
          <w:lang w:val="en-CA"/>
        </w:rPr>
        <w:t>after becoming sick has moved to</w:t>
      </w:r>
      <w:r w:rsidR="003E52A6">
        <w:rPr>
          <w:rFonts w:ascii="Times New Roman" w:hAnsi="Times New Roman"/>
          <w:sz w:val="24"/>
          <w:szCs w:val="24"/>
          <w:lang w:val="en-CA"/>
        </w:rPr>
        <w:t xml:space="preserve"> liv</w:t>
      </w:r>
      <w:r>
        <w:rPr>
          <w:rFonts w:ascii="Times New Roman" w:hAnsi="Times New Roman"/>
          <w:sz w:val="24"/>
          <w:szCs w:val="24"/>
          <w:lang w:val="en-CA"/>
        </w:rPr>
        <w:t>e</w:t>
      </w:r>
      <w:r w:rsidR="003E52A6">
        <w:rPr>
          <w:rFonts w:ascii="Times New Roman" w:hAnsi="Times New Roman"/>
          <w:sz w:val="24"/>
          <w:szCs w:val="24"/>
          <w:lang w:val="en-CA"/>
        </w:rPr>
        <w:t xml:space="preserve"> in another country.</w:t>
      </w:r>
      <w:r w:rsidR="005F70DE">
        <w:rPr>
          <w:rFonts w:ascii="Times New Roman" w:hAnsi="Times New Roman"/>
          <w:sz w:val="24"/>
          <w:szCs w:val="24"/>
          <w:lang w:val="en-CA"/>
        </w:rPr>
        <w:t xml:space="preserve"> Furthermore, in 2009 10.600 persons from the EU received sickness benefit with a total value of with a cost of approximately 46 million Danish Kroner.</w:t>
      </w:r>
      <w:r w:rsidR="00210EC4">
        <w:rPr>
          <w:rFonts w:ascii="Times New Roman" w:hAnsi="Times New Roman"/>
          <w:sz w:val="24"/>
          <w:szCs w:val="24"/>
          <w:lang w:val="en-CA"/>
        </w:rPr>
        <w:t xml:space="preserve"> </w:t>
      </w:r>
      <w:r w:rsidR="005F70DE">
        <w:rPr>
          <w:rFonts w:ascii="Times New Roman" w:hAnsi="Times New Roman"/>
          <w:sz w:val="24"/>
          <w:szCs w:val="24"/>
          <w:lang w:val="en-CA"/>
        </w:rPr>
        <w:t>The right to maternity and paternity leave is dependent on 13 weeks of employment, and here work done in another country in the EU can be included in t</w:t>
      </w:r>
      <w:r w:rsidR="00BA0C3A">
        <w:rPr>
          <w:rFonts w:ascii="Times New Roman" w:hAnsi="Times New Roman"/>
          <w:sz w:val="24"/>
          <w:szCs w:val="24"/>
          <w:lang w:val="en-CA"/>
        </w:rPr>
        <w:t>he calculation, if migrants</w:t>
      </w:r>
      <w:r w:rsidR="005F70DE">
        <w:rPr>
          <w:rFonts w:ascii="Times New Roman" w:hAnsi="Times New Roman"/>
          <w:sz w:val="24"/>
          <w:szCs w:val="24"/>
          <w:lang w:val="en-CA"/>
        </w:rPr>
        <w:t xml:space="preserve"> are legally residing in Denmark.</w:t>
      </w:r>
    </w:p>
    <w:p w:rsidR="005F70DE" w:rsidRDefault="005F70DE" w:rsidP="00790EC0">
      <w:pPr>
        <w:spacing w:line="240" w:lineRule="auto"/>
        <w:jc w:val="both"/>
        <w:rPr>
          <w:rFonts w:ascii="Times New Roman" w:hAnsi="Times New Roman"/>
          <w:sz w:val="24"/>
          <w:szCs w:val="24"/>
          <w:lang w:val="en-CA"/>
        </w:rPr>
      </w:pPr>
      <w:r>
        <w:rPr>
          <w:rFonts w:ascii="Times New Roman" w:hAnsi="Times New Roman"/>
          <w:sz w:val="24"/>
          <w:szCs w:val="24"/>
          <w:lang w:val="en-CA"/>
        </w:rPr>
        <w:t>The rules related to social assistance also implies that one should have stayed seven out of the last eight years in Denmark and have been in full-employment in at least 2½ years out of the last 8 years. It is argued that social assistance is a social advantage which therefore not</w:t>
      </w:r>
      <w:r w:rsidR="00BA0C3A">
        <w:rPr>
          <w:rFonts w:ascii="Times New Roman" w:hAnsi="Times New Roman"/>
          <w:sz w:val="24"/>
          <w:szCs w:val="24"/>
          <w:lang w:val="en-CA"/>
        </w:rPr>
        <w:t>,</w:t>
      </w:r>
      <w:r>
        <w:rPr>
          <w:rFonts w:ascii="Times New Roman" w:hAnsi="Times New Roman"/>
          <w:sz w:val="24"/>
          <w:szCs w:val="24"/>
          <w:lang w:val="en-CA"/>
        </w:rPr>
        <w:t xml:space="preserve"> to the same degree as other benefits</w:t>
      </w:r>
      <w:r w:rsidR="00BA0C3A">
        <w:rPr>
          <w:rFonts w:ascii="Times New Roman" w:hAnsi="Times New Roman"/>
          <w:sz w:val="24"/>
          <w:szCs w:val="24"/>
          <w:lang w:val="en-CA"/>
        </w:rPr>
        <w:t>,</w:t>
      </w:r>
      <w:r>
        <w:rPr>
          <w:rFonts w:ascii="Times New Roman" w:hAnsi="Times New Roman"/>
          <w:sz w:val="24"/>
          <w:szCs w:val="24"/>
          <w:lang w:val="en-CA"/>
        </w:rPr>
        <w:t xml:space="preserve"> can be taken away from Denmark – and this is also the case for EU-citizens.</w:t>
      </w:r>
      <w:r w:rsidR="00BD6DC4">
        <w:rPr>
          <w:rFonts w:ascii="Times New Roman" w:hAnsi="Times New Roman"/>
          <w:sz w:val="24"/>
          <w:szCs w:val="24"/>
          <w:lang w:val="en-CA"/>
        </w:rPr>
        <w:t xml:space="preserve"> However, whether this relatively long time-frame, see also later, can be uphold is questionable.</w:t>
      </w:r>
    </w:p>
    <w:p w:rsidR="00FC375B" w:rsidRDefault="008C1342" w:rsidP="00790EC0">
      <w:pPr>
        <w:spacing w:line="240" w:lineRule="auto"/>
        <w:jc w:val="both"/>
        <w:rPr>
          <w:rFonts w:ascii="Times New Roman" w:hAnsi="Times New Roman"/>
          <w:sz w:val="24"/>
          <w:szCs w:val="24"/>
          <w:lang w:val="en-CA"/>
        </w:rPr>
      </w:pPr>
      <w:r>
        <w:rPr>
          <w:rFonts w:ascii="Times New Roman" w:hAnsi="Times New Roman"/>
          <w:sz w:val="24"/>
          <w:szCs w:val="24"/>
          <w:lang w:val="en-CA"/>
        </w:rPr>
        <w:t>Regarding t</w:t>
      </w:r>
      <w:r w:rsidR="00210EC4">
        <w:rPr>
          <w:rFonts w:ascii="Times New Roman" w:hAnsi="Times New Roman"/>
          <w:sz w:val="24"/>
          <w:szCs w:val="24"/>
          <w:lang w:val="en-CA"/>
        </w:rPr>
        <w:t xml:space="preserve">he early retirement benefit </w:t>
      </w:r>
      <w:r>
        <w:rPr>
          <w:rFonts w:ascii="Times New Roman" w:hAnsi="Times New Roman"/>
          <w:sz w:val="24"/>
          <w:szCs w:val="24"/>
          <w:lang w:val="en-CA"/>
        </w:rPr>
        <w:t xml:space="preserve">it </w:t>
      </w:r>
      <w:r w:rsidR="00210EC4">
        <w:rPr>
          <w:rFonts w:ascii="Times New Roman" w:hAnsi="Times New Roman"/>
          <w:sz w:val="24"/>
          <w:szCs w:val="24"/>
          <w:lang w:val="en-CA"/>
        </w:rPr>
        <w:t>was first also decided that this could not be exported</w:t>
      </w:r>
      <w:r w:rsidR="0017780C">
        <w:rPr>
          <w:rFonts w:ascii="Times New Roman" w:hAnsi="Times New Roman"/>
          <w:sz w:val="24"/>
          <w:szCs w:val="24"/>
          <w:lang w:val="en-CA"/>
        </w:rPr>
        <w:t xml:space="preserve"> to another EU-country</w:t>
      </w:r>
      <w:r w:rsidR="00210EC4">
        <w:rPr>
          <w:rFonts w:ascii="Times New Roman" w:hAnsi="Times New Roman"/>
          <w:sz w:val="24"/>
          <w:szCs w:val="24"/>
          <w:lang w:val="en-CA"/>
        </w:rPr>
        <w:t>, however this was later changed under pressure from the EU</w:t>
      </w:r>
      <w:r w:rsidR="0017780C">
        <w:rPr>
          <w:rFonts w:ascii="Times New Roman" w:hAnsi="Times New Roman"/>
          <w:sz w:val="24"/>
          <w:szCs w:val="24"/>
          <w:lang w:val="en-CA"/>
        </w:rPr>
        <w:t xml:space="preserve">, and given that this system also requires </w:t>
      </w:r>
      <w:r w:rsidR="00BA0C3A">
        <w:rPr>
          <w:rFonts w:ascii="Times New Roman" w:hAnsi="Times New Roman"/>
          <w:sz w:val="24"/>
          <w:szCs w:val="24"/>
          <w:lang w:val="en-CA"/>
        </w:rPr>
        <w:t xml:space="preserve">long-time </w:t>
      </w:r>
      <w:r w:rsidR="0017780C">
        <w:rPr>
          <w:rFonts w:ascii="Times New Roman" w:hAnsi="Times New Roman"/>
          <w:sz w:val="24"/>
          <w:szCs w:val="24"/>
          <w:lang w:val="en-CA"/>
        </w:rPr>
        <w:t>member-ship and specific payment to an early-retirement benefit scheme one can question whether this de-facto is a universal scheme under threat from the EU</w:t>
      </w:r>
      <w:r w:rsidR="00210EC4">
        <w:rPr>
          <w:rFonts w:ascii="Times New Roman" w:hAnsi="Times New Roman"/>
          <w:sz w:val="24"/>
          <w:szCs w:val="24"/>
          <w:lang w:val="en-CA"/>
        </w:rPr>
        <w:t>.</w:t>
      </w:r>
      <w:r w:rsidR="00BA0C3A">
        <w:rPr>
          <w:rFonts w:ascii="Times New Roman" w:hAnsi="Times New Roman"/>
          <w:sz w:val="24"/>
          <w:szCs w:val="24"/>
          <w:lang w:val="en-CA"/>
        </w:rPr>
        <w:t xml:space="preserve"> </w:t>
      </w:r>
    </w:p>
    <w:p w:rsidR="00BA0C3A" w:rsidRDefault="00BA0C3A" w:rsidP="00790EC0">
      <w:pPr>
        <w:spacing w:line="240" w:lineRule="auto"/>
        <w:jc w:val="both"/>
        <w:rPr>
          <w:rFonts w:ascii="Times New Roman" w:hAnsi="Times New Roman"/>
          <w:sz w:val="24"/>
          <w:szCs w:val="24"/>
          <w:lang w:val="en-CA"/>
        </w:rPr>
      </w:pPr>
      <w:r>
        <w:rPr>
          <w:rFonts w:ascii="Times New Roman" w:hAnsi="Times New Roman"/>
          <w:sz w:val="24"/>
          <w:szCs w:val="24"/>
          <w:lang w:val="en-CA"/>
        </w:rPr>
        <w:t>In relation to unemployment benefit it is possible if having worked and been member of an unemployment insurance fund in one’s home-country for 9 months after three months’ work in Denmark to receive the relatively higher level of unemployment benefit in Denmark. In 2012 11.000 foreign citizens got Danish unemployment benefits. The portable rights as part of the free-movement might thus make a pressure on the Danish unemployment system.</w:t>
      </w:r>
    </w:p>
    <w:p w:rsidR="003873F1" w:rsidRDefault="00D320DB" w:rsidP="00790EC0">
      <w:pPr>
        <w:spacing w:line="240" w:lineRule="auto"/>
        <w:jc w:val="both"/>
        <w:rPr>
          <w:rFonts w:ascii="Times New Roman" w:hAnsi="Times New Roman"/>
          <w:sz w:val="24"/>
          <w:szCs w:val="24"/>
          <w:lang w:val="en-CA"/>
        </w:rPr>
      </w:pPr>
      <w:r>
        <w:rPr>
          <w:rFonts w:ascii="Times New Roman" w:hAnsi="Times New Roman"/>
          <w:sz w:val="24"/>
          <w:szCs w:val="24"/>
          <w:lang w:val="en-CA"/>
        </w:rPr>
        <w:t xml:space="preserve">The impact </w:t>
      </w:r>
      <w:r w:rsidR="008C1342">
        <w:rPr>
          <w:rFonts w:ascii="Times New Roman" w:hAnsi="Times New Roman"/>
          <w:sz w:val="24"/>
          <w:szCs w:val="24"/>
          <w:lang w:val="en-CA"/>
        </w:rPr>
        <w:t xml:space="preserve">on the </w:t>
      </w:r>
      <w:r w:rsidR="0017780C">
        <w:rPr>
          <w:rFonts w:ascii="Times New Roman" w:hAnsi="Times New Roman"/>
          <w:sz w:val="24"/>
          <w:szCs w:val="24"/>
          <w:lang w:val="en-CA"/>
        </w:rPr>
        <w:t xml:space="preserve">Danish welfare </w:t>
      </w:r>
      <w:r w:rsidR="008C1342">
        <w:rPr>
          <w:rFonts w:ascii="Times New Roman" w:hAnsi="Times New Roman"/>
          <w:sz w:val="24"/>
          <w:szCs w:val="24"/>
          <w:lang w:val="en-CA"/>
        </w:rPr>
        <w:t xml:space="preserve">system </w:t>
      </w:r>
      <w:r>
        <w:rPr>
          <w:rFonts w:ascii="Times New Roman" w:hAnsi="Times New Roman"/>
          <w:sz w:val="24"/>
          <w:szCs w:val="24"/>
          <w:lang w:val="en-CA"/>
        </w:rPr>
        <w:t xml:space="preserve">will </w:t>
      </w:r>
      <w:r w:rsidR="00BA0C3A">
        <w:rPr>
          <w:rFonts w:ascii="Times New Roman" w:hAnsi="Times New Roman"/>
          <w:sz w:val="24"/>
          <w:szCs w:val="24"/>
          <w:lang w:val="en-CA"/>
        </w:rPr>
        <w:t xml:space="preserve">and has therefore </w:t>
      </w:r>
      <w:r>
        <w:rPr>
          <w:rFonts w:ascii="Times New Roman" w:hAnsi="Times New Roman"/>
          <w:sz w:val="24"/>
          <w:szCs w:val="24"/>
          <w:lang w:val="en-CA"/>
        </w:rPr>
        <w:t>not only come through due to cases where Denmark is directly involved, also other case</w:t>
      </w:r>
      <w:r w:rsidR="0017780C">
        <w:rPr>
          <w:rFonts w:ascii="Times New Roman" w:hAnsi="Times New Roman"/>
          <w:sz w:val="24"/>
          <w:szCs w:val="24"/>
          <w:lang w:val="en-CA"/>
        </w:rPr>
        <w:t>s have had an impact</w:t>
      </w:r>
      <w:r>
        <w:rPr>
          <w:rFonts w:ascii="Times New Roman" w:hAnsi="Times New Roman"/>
          <w:sz w:val="24"/>
          <w:szCs w:val="24"/>
          <w:lang w:val="en-CA"/>
        </w:rPr>
        <w:t xml:space="preserve">. </w:t>
      </w:r>
      <w:r w:rsidR="003873F1">
        <w:rPr>
          <w:rFonts w:ascii="Times New Roman" w:hAnsi="Times New Roman"/>
          <w:sz w:val="24"/>
          <w:szCs w:val="24"/>
          <w:lang w:val="en-CA"/>
        </w:rPr>
        <w:t>A</w:t>
      </w:r>
      <w:r w:rsidR="003873F1" w:rsidRPr="00FB4DD8">
        <w:rPr>
          <w:rFonts w:ascii="Times New Roman" w:hAnsi="Times New Roman"/>
          <w:sz w:val="24"/>
          <w:szCs w:val="24"/>
          <w:lang w:val="en-CA"/>
        </w:rPr>
        <w:t>s an</w:t>
      </w:r>
      <w:r>
        <w:rPr>
          <w:rFonts w:ascii="Times New Roman" w:hAnsi="Times New Roman"/>
          <w:sz w:val="24"/>
          <w:szCs w:val="24"/>
          <w:lang w:val="en-CA"/>
        </w:rPr>
        <w:t>, by now classical,</w:t>
      </w:r>
      <w:r w:rsidR="003873F1" w:rsidRPr="00FB4DD8">
        <w:rPr>
          <w:rFonts w:ascii="Times New Roman" w:hAnsi="Times New Roman"/>
          <w:sz w:val="24"/>
          <w:szCs w:val="24"/>
          <w:lang w:val="en-CA"/>
        </w:rPr>
        <w:t xml:space="preserve"> example of the impact</w:t>
      </w:r>
      <w:r w:rsidR="00BA0C3A">
        <w:rPr>
          <w:rFonts w:ascii="Times New Roman" w:hAnsi="Times New Roman"/>
          <w:sz w:val="24"/>
          <w:szCs w:val="24"/>
          <w:lang w:val="en-CA"/>
        </w:rPr>
        <w:t xml:space="preserve"> on welfare states</w:t>
      </w:r>
      <w:r w:rsidR="003873F1">
        <w:rPr>
          <w:rFonts w:ascii="Times New Roman" w:hAnsi="Times New Roman"/>
          <w:sz w:val="24"/>
          <w:szCs w:val="24"/>
          <w:lang w:val="en-CA"/>
        </w:rPr>
        <w:t>, t</w:t>
      </w:r>
      <w:r w:rsidR="003873F1" w:rsidRPr="00FB4DD8">
        <w:rPr>
          <w:rFonts w:ascii="Times New Roman" w:hAnsi="Times New Roman"/>
          <w:sz w:val="24"/>
          <w:szCs w:val="24"/>
          <w:lang w:val="en-CA"/>
        </w:rPr>
        <w:t>he Laval</w:t>
      </w:r>
      <w:r w:rsidR="003873F1">
        <w:rPr>
          <w:rFonts w:ascii="Times New Roman" w:hAnsi="Times New Roman"/>
          <w:sz w:val="24"/>
          <w:szCs w:val="24"/>
          <w:lang w:val="en-CA"/>
        </w:rPr>
        <w:t xml:space="preserve"> </w:t>
      </w:r>
      <w:r w:rsidR="003873F1" w:rsidRPr="00FB4DD8">
        <w:rPr>
          <w:rFonts w:ascii="Times New Roman" w:hAnsi="Times New Roman"/>
          <w:sz w:val="24"/>
          <w:szCs w:val="24"/>
          <w:lang w:val="en-CA"/>
        </w:rPr>
        <w:t xml:space="preserve">judgement </w:t>
      </w:r>
      <w:r w:rsidR="003873F1">
        <w:rPr>
          <w:rFonts w:ascii="Times New Roman" w:hAnsi="Times New Roman"/>
          <w:sz w:val="24"/>
          <w:szCs w:val="24"/>
          <w:lang w:val="en-CA"/>
        </w:rPr>
        <w:t>of</w:t>
      </w:r>
      <w:r w:rsidR="003873F1" w:rsidRPr="00FB4DD8">
        <w:rPr>
          <w:rFonts w:ascii="Times New Roman" w:hAnsi="Times New Roman"/>
          <w:sz w:val="24"/>
          <w:szCs w:val="24"/>
          <w:lang w:val="en-CA"/>
        </w:rPr>
        <w:t xml:space="preserve"> 2007 implied a break with the Danish labour market model</w:t>
      </w:r>
      <w:r>
        <w:rPr>
          <w:rFonts w:ascii="Times New Roman" w:hAnsi="Times New Roman"/>
          <w:sz w:val="24"/>
          <w:szCs w:val="24"/>
          <w:lang w:val="en-CA"/>
        </w:rPr>
        <w:t>. This due to</w:t>
      </w:r>
      <w:r w:rsidR="003873F1" w:rsidRPr="00FB4DD8">
        <w:rPr>
          <w:rFonts w:ascii="Times New Roman" w:hAnsi="Times New Roman"/>
          <w:sz w:val="24"/>
          <w:szCs w:val="24"/>
          <w:lang w:val="en-CA"/>
        </w:rPr>
        <w:t xml:space="preserve"> that the Parliament </w:t>
      </w:r>
      <w:r w:rsidR="003873F1">
        <w:rPr>
          <w:rFonts w:ascii="Times New Roman" w:hAnsi="Times New Roman"/>
          <w:sz w:val="24"/>
          <w:szCs w:val="24"/>
          <w:lang w:val="en-CA"/>
        </w:rPr>
        <w:t>created</w:t>
      </w:r>
      <w:r w:rsidR="003873F1" w:rsidRPr="00FB4DD8">
        <w:rPr>
          <w:rFonts w:ascii="Times New Roman" w:hAnsi="Times New Roman"/>
          <w:sz w:val="24"/>
          <w:szCs w:val="24"/>
          <w:lang w:val="en-CA"/>
        </w:rPr>
        <w:t xml:space="preserve"> legislation in areas </w:t>
      </w:r>
      <w:r w:rsidR="003873F1">
        <w:rPr>
          <w:rFonts w:ascii="Times New Roman" w:hAnsi="Times New Roman"/>
          <w:sz w:val="24"/>
          <w:szCs w:val="24"/>
          <w:lang w:val="en-CA"/>
        </w:rPr>
        <w:t xml:space="preserve">that had </w:t>
      </w:r>
      <w:r w:rsidR="003873F1" w:rsidRPr="00FB4DD8">
        <w:rPr>
          <w:rFonts w:ascii="Times New Roman" w:hAnsi="Times New Roman"/>
          <w:sz w:val="24"/>
          <w:szCs w:val="24"/>
          <w:lang w:val="en-CA"/>
        </w:rPr>
        <w:t>previous</w:t>
      </w:r>
      <w:r w:rsidR="003873F1">
        <w:rPr>
          <w:rFonts w:ascii="Times New Roman" w:hAnsi="Times New Roman"/>
          <w:sz w:val="24"/>
          <w:szCs w:val="24"/>
          <w:lang w:val="en-CA"/>
        </w:rPr>
        <w:t>ly been</w:t>
      </w:r>
      <w:r w:rsidR="003873F1" w:rsidRPr="00FB4DD8">
        <w:rPr>
          <w:rFonts w:ascii="Times New Roman" w:hAnsi="Times New Roman"/>
          <w:sz w:val="24"/>
          <w:szCs w:val="24"/>
          <w:lang w:val="en-CA"/>
        </w:rPr>
        <w:t xml:space="preserve"> taken care of by labour market partners by including a new rule on how to define minimum wages in the law concerning </w:t>
      </w:r>
      <w:r w:rsidR="003873F1">
        <w:rPr>
          <w:rFonts w:ascii="Times New Roman" w:hAnsi="Times New Roman"/>
          <w:sz w:val="24"/>
          <w:szCs w:val="24"/>
          <w:lang w:val="en-CA"/>
        </w:rPr>
        <w:t xml:space="preserve">the </w:t>
      </w:r>
      <w:r w:rsidR="003873F1" w:rsidRPr="00FB4DD8">
        <w:rPr>
          <w:rFonts w:ascii="Times New Roman" w:hAnsi="Times New Roman"/>
          <w:sz w:val="24"/>
          <w:szCs w:val="24"/>
          <w:lang w:val="en-CA"/>
        </w:rPr>
        <w:t>posting of workers in 2008 (Kristiansen, 2011)</w:t>
      </w:r>
      <w:r w:rsidR="003873F1">
        <w:rPr>
          <w:rFonts w:ascii="Times New Roman" w:hAnsi="Times New Roman"/>
          <w:sz w:val="24"/>
          <w:szCs w:val="24"/>
          <w:lang w:val="en-CA"/>
        </w:rPr>
        <w:t>. Kristiansen</w:t>
      </w:r>
      <w:r w:rsidR="003873F1" w:rsidRPr="00FB4DD8">
        <w:rPr>
          <w:rFonts w:ascii="Times New Roman" w:hAnsi="Times New Roman"/>
          <w:sz w:val="24"/>
          <w:szCs w:val="24"/>
          <w:lang w:val="en-CA"/>
        </w:rPr>
        <w:t xml:space="preserve"> also argues that the EU</w:t>
      </w:r>
      <w:r w:rsidR="003873F1">
        <w:rPr>
          <w:rFonts w:ascii="Times New Roman" w:hAnsi="Times New Roman"/>
          <w:sz w:val="24"/>
          <w:szCs w:val="24"/>
          <w:lang w:val="en-CA"/>
        </w:rPr>
        <w:t xml:space="preserve"> </w:t>
      </w:r>
      <w:r w:rsidR="003873F1" w:rsidRPr="00FB4DD8">
        <w:rPr>
          <w:rFonts w:ascii="Times New Roman" w:hAnsi="Times New Roman"/>
          <w:sz w:val="24"/>
          <w:szCs w:val="24"/>
          <w:lang w:val="en-CA"/>
        </w:rPr>
        <w:t xml:space="preserve">rules concerning </w:t>
      </w:r>
      <w:r w:rsidR="003873F1">
        <w:rPr>
          <w:rFonts w:ascii="Times New Roman" w:hAnsi="Times New Roman"/>
          <w:sz w:val="24"/>
          <w:szCs w:val="24"/>
          <w:lang w:val="en-CA"/>
        </w:rPr>
        <w:t xml:space="preserve">the </w:t>
      </w:r>
      <w:r w:rsidR="003873F1" w:rsidRPr="00FB4DD8">
        <w:rPr>
          <w:rFonts w:ascii="Times New Roman" w:hAnsi="Times New Roman"/>
          <w:sz w:val="24"/>
          <w:szCs w:val="24"/>
          <w:lang w:val="en-CA"/>
        </w:rPr>
        <w:lastRenderedPageBreak/>
        <w:t>free</w:t>
      </w:r>
      <w:r w:rsidR="003873F1">
        <w:rPr>
          <w:rFonts w:ascii="Times New Roman" w:hAnsi="Times New Roman"/>
          <w:sz w:val="24"/>
          <w:szCs w:val="24"/>
          <w:lang w:val="en-CA"/>
        </w:rPr>
        <w:t xml:space="preserve"> </w:t>
      </w:r>
      <w:r w:rsidR="003873F1" w:rsidRPr="00FB4DD8">
        <w:rPr>
          <w:rFonts w:ascii="Times New Roman" w:hAnsi="Times New Roman"/>
          <w:sz w:val="24"/>
          <w:szCs w:val="24"/>
          <w:lang w:val="en-CA"/>
        </w:rPr>
        <w:t xml:space="preserve">movement of workers seen from the employee organisation point of view </w:t>
      </w:r>
      <w:r w:rsidR="003873F1">
        <w:rPr>
          <w:rFonts w:ascii="Times New Roman" w:hAnsi="Times New Roman"/>
          <w:sz w:val="24"/>
          <w:szCs w:val="24"/>
          <w:lang w:val="en-CA"/>
        </w:rPr>
        <w:t>generally</w:t>
      </w:r>
      <w:r w:rsidR="003873F1" w:rsidRPr="00FB4DD8">
        <w:rPr>
          <w:rFonts w:ascii="Times New Roman" w:hAnsi="Times New Roman"/>
          <w:sz w:val="24"/>
          <w:szCs w:val="24"/>
          <w:lang w:val="en-CA"/>
        </w:rPr>
        <w:t xml:space="preserve"> implies </w:t>
      </w:r>
      <w:r w:rsidR="003873F1">
        <w:rPr>
          <w:rFonts w:ascii="Times New Roman" w:hAnsi="Times New Roman"/>
          <w:sz w:val="24"/>
          <w:szCs w:val="24"/>
          <w:lang w:val="en-CA"/>
        </w:rPr>
        <w:t>the</w:t>
      </w:r>
      <w:r w:rsidR="003873F1" w:rsidRPr="00FB4DD8">
        <w:rPr>
          <w:rFonts w:ascii="Times New Roman" w:hAnsi="Times New Roman"/>
          <w:sz w:val="24"/>
          <w:szCs w:val="24"/>
          <w:lang w:val="en-CA"/>
        </w:rPr>
        <w:t xml:space="preserve"> possibility and risk of social dumping.</w:t>
      </w:r>
      <w:r>
        <w:rPr>
          <w:rFonts w:ascii="Times New Roman" w:hAnsi="Times New Roman"/>
          <w:sz w:val="24"/>
          <w:szCs w:val="24"/>
          <w:lang w:val="en-CA"/>
        </w:rPr>
        <w:t xml:space="preserve"> Thus rules of free-movement also increase the risk for other parts of the welfare state or labour market model. </w:t>
      </w:r>
    </w:p>
    <w:p w:rsidR="00210EC4" w:rsidRDefault="00684091" w:rsidP="00790EC0">
      <w:pPr>
        <w:spacing w:line="240" w:lineRule="auto"/>
        <w:jc w:val="both"/>
        <w:rPr>
          <w:rFonts w:ascii="Times New Roman" w:hAnsi="Times New Roman"/>
          <w:sz w:val="24"/>
          <w:szCs w:val="24"/>
          <w:lang w:val="en-CA"/>
        </w:rPr>
      </w:pPr>
      <w:r>
        <w:rPr>
          <w:rFonts w:ascii="Times New Roman" w:hAnsi="Times New Roman"/>
          <w:sz w:val="24"/>
          <w:szCs w:val="24"/>
          <w:lang w:val="en-CA"/>
        </w:rPr>
        <w:t>In 2002 the above-mentioned rule of</w:t>
      </w:r>
      <w:r w:rsidR="00210EC4">
        <w:rPr>
          <w:rFonts w:ascii="Times New Roman" w:hAnsi="Times New Roman"/>
          <w:sz w:val="24"/>
          <w:szCs w:val="24"/>
          <w:lang w:val="en-CA"/>
        </w:rPr>
        <w:t xml:space="preserve"> demand to stay in Denmark in order to receive social assistance </w:t>
      </w:r>
      <w:r w:rsidR="008C1342">
        <w:rPr>
          <w:rFonts w:ascii="Times New Roman" w:hAnsi="Times New Roman"/>
          <w:sz w:val="24"/>
          <w:szCs w:val="24"/>
          <w:lang w:val="en-CA"/>
        </w:rPr>
        <w:t xml:space="preserve">where introduced and if not fulfilling </w:t>
      </w:r>
      <w:r>
        <w:rPr>
          <w:rFonts w:ascii="Times New Roman" w:hAnsi="Times New Roman"/>
          <w:sz w:val="24"/>
          <w:szCs w:val="24"/>
          <w:lang w:val="en-CA"/>
        </w:rPr>
        <w:t>this</w:t>
      </w:r>
      <w:r w:rsidR="008C1342">
        <w:rPr>
          <w:rFonts w:ascii="Times New Roman" w:hAnsi="Times New Roman"/>
          <w:sz w:val="24"/>
          <w:szCs w:val="24"/>
          <w:lang w:val="en-CA"/>
        </w:rPr>
        <w:t xml:space="preserve"> people entering</w:t>
      </w:r>
      <w:r w:rsidR="00210EC4">
        <w:rPr>
          <w:rFonts w:ascii="Times New Roman" w:hAnsi="Times New Roman"/>
          <w:sz w:val="24"/>
          <w:szCs w:val="24"/>
          <w:lang w:val="en-CA"/>
        </w:rPr>
        <w:t xml:space="preserve"> would </w:t>
      </w:r>
      <w:r w:rsidR="008C1342">
        <w:rPr>
          <w:rFonts w:ascii="Times New Roman" w:hAnsi="Times New Roman"/>
          <w:sz w:val="24"/>
          <w:szCs w:val="24"/>
          <w:lang w:val="en-CA"/>
        </w:rPr>
        <w:t xml:space="preserve">only </w:t>
      </w:r>
      <w:r w:rsidR="00210EC4">
        <w:rPr>
          <w:rFonts w:ascii="Times New Roman" w:hAnsi="Times New Roman"/>
          <w:sz w:val="24"/>
          <w:szCs w:val="24"/>
          <w:lang w:val="en-CA"/>
        </w:rPr>
        <w:t>be elig</w:t>
      </w:r>
      <w:r w:rsidR="008C1342">
        <w:rPr>
          <w:rFonts w:ascii="Times New Roman" w:hAnsi="Times New Roman"/>
          <w:sz w:val="24"/>
          <w:szCs w:val="24"/>
          <w:lang w:val="en-CA"/>
        </w:rPr>
        <w:t>ible for a s</w:t>
      </w:r>
      <w:r w:rsidR="00BA0C3A">
        <w:rPr>
          <w:rFonts w:ascii="Times New Roman" w:hAnsi="Times New Roman"/>
          <w:sz w:val="24"/>
          <w:szCs w:val="24"/>
          <w:lang w:val="en-CA"/>
        </w:rPr>
        <w:t>o-called start-help. Although start-help</w:t>
      </w:r>
      <w:r w:rsidR="008C1342">
        <w:rPr>
          <w:rFonts w:ascii="Times New Roman" w:hAnsi="Times New Roman"/>
          <w:sz w:val="24"/>
          <w:szCs w:val="24"/>
          <w:lang w:val="en-CA"/>
        </w:rPr>
        <w:t xml:space="preserve"> was</w:t>
      </w:r>
      <w:r w:rsidR="00210EC4">
        <w:rPr>
          <w:rFonts w:ascii="Times New Roman" w:hAnsi="Times New Roman"/>
          <w:sz w:val="24"/>
          <w:szCs w:val="24"/>
          <w:lang w:val="en-CA"/>
        </w:rPr>
        <w:t xml:space="preserve"> abolished on the 1</w:t>
      </w:r>
      <w:r w:rsidR="00210EC4" w:rsidRPr="00210EC4">
        <w:rPr>
          <w:rFonts w:ascii="Times New Roman" w:hAnsi="Times New Roman"/>
          <w:sz w:val="24"/>
          <w:szCs w:val="24"/>
          <w:vertAlign w:val="superscript"/>
          <w:lang w:val="en-CA"/>
        </w:rPr>
        <w:t>st</w:t>
      </w:r>
      <w:r w:rsidR="00210EC4">
        <w:rPr>
          <w:rFonts w:ascii="Times New Roman" w:hAnsi="Times New Roman"/>
          <w:sz w:val="24"/>
          <w:szCs w:val="24"/>
          <w:lang w:val="en-CA"/>
        </w:rPr>
        <w:t xml:space="preserve"> of January, 2012</w:t>
      </w:r>
      <w:r w:rsidR="008C1342">
        <w:rPr>
          <w:rFonts w:ascii="Times New Roman" w:hAnsi="Times New Roman"/>
          <w:sz w:val="24"/>
          <w:szCs w:val="24"/>
          <w:lang w:val="en-CA"/>
        </w:rPr>
        <w:t xml:space="preserve"> it indicate that the time living in Denmark </w:t>
      </w:r>
      <w:r w:rsidR="00BA0C3A">
        <w:rPr>
          <w:rFonts w:ascii="Times New Roman" w:hAnsi="Times New Roman"/>
          <w:sz w:val="24"/>
          <w:szCs w:val="24"/>
          <w:lang w:val="en-CA"/>
        </w:rPr>
        <w:t>has</w:t>
      </w:r>
      <w:r w:rsidR="008C1342">
        <w:rPr>
          <w:rFonts w:ascii="Times New Roman" w:hAnsi="Times New Roman"/>
          <w:sz w:val="24"/>
          <w:szCs w:val="24"/>
          <w:lang w:val="en-CA"/>
        </w:rPr>
        <w:t xml:space="preserve"> be</w:t>
      </w:r>
      <w:r w:rsidR="00BA0C3A">
        <w:rPr>
          <w:rFonts w:ascii="Times New Roman" w:hAnsi="Times New Roman"/>
          <w:sz w:val="24"/>
          <w:szCs w:val="24"/>
          <w:lang w:val="en-CA"/>
        </w:rPr>
        <w:t>en</w:t>
      </w:r>
      <w:r w:rsidR="008C1342">
        <w:rPr>
          <w:rFonts w:ascii="Times New Roman" w:hAnsi="Times New Roman"/>
          <w:sz w:val="24"/>
          <w:szCs w:val="24"/>
          <w:lang w:val="en-CA"/>
        </w:rPr>
        <w:t xml:space="preserve"> used to reduce </w:t>
      </w:r>
      <w:r w:rsidR="00BA0C3A">
        <w:rPr>
          <w:rFonts w:ascii="Times New Roman" w:hAnsi="Times New Roman"/>
          <w:sz w:val="24"/>
          <w:szCs w:val="24"/>
          <w:lang w:val="en-CA"/>
        </w:rPr>
        <w:t>who gets access</w:t>
      </w:r>
      <w:r w:rsidR="005A7A7D">
        <w:rPr>
          <w:rFonts w:ascii="Times New Roman" w:hAnsi="Times New Roman"/>
          <w:sz w:val="24"/>
          <w:szCs w:val="24"/>
          <w:lang w:val="en-CA"/>
        </w:rPr>
        <w:t>, under what conditions</w:t>
      </w:r>
      <w:r w:rsidR="00BA0C3A">
        <w:rPr>
          <w:rFonts w:ascii="Times New Roman" w:hAnsi="Times New Roman"/>
          <w:sz w:val="24"/>
          <w:szCs w:val="24"/>
          <w:lang w:val="en-CA"/>
        </w:rPr>
        <w:t xml:space="preserve"> and the </w:t>
      </w:r>
      <w:r w:rsidR="008C1342">
        <w:rPr>
          <w:rFonts w:ascii="Times New Roman" w:hAnsi="Times New Roman"/>
          <w:sz w:val="24"/>
          <w:szCs w:val="24"/>
          <w:lang w:val="en-CA"/>
        </w:rPr>
        <w:t>pressure</w:t>
      </w:r>
      <w:r w:rsidR="00BA0C3A">
        <w:rPr>
          <w:rFonts w:ascii="Times New Roman" w:hAnsi="Times New Roman"/>
          <w:sz w:val="24"/>
          <w:szCs w:val="24"/>
          <w:lang w:val="en-CA"/>
        </w:rPr>
        <w:t xml:space="preserve"> on welfare state spending</w:t>
      </w:r>
      <w:r w:rsidR="008C1342">
        <w:rPr>
          <w:rFonts w:ascii="Times New Roman" w:hAnsi="Times New Roman"/>
          <w:sz w:val="24"/>
          <w:szCs w:val="24"/>
          <w:lang w:val="en-CA"/>
        </w:rPr>
        <w:t xml:space="preserve">, but </w:t>
      </w:r>
      <w:r>
        <w:rPr>
          <w:rFonts w:ascii="Times New Roman" w:hAnsi="Times New Roman"/>
          <w:sz w:val="24"/>
          <w:szCs w:val="24"/>
          <w:lang w:val="en-CA"/>
        </w:rPr>
        <w:t xml:space="preserve">thereby </w:t>
      </w:r>
      <w:r w:rsidR="008C1342">
        <w:rPr>
          <w:rFonts w:ascii="Times New Roman" w:hAnsi="Times New Roman"/>
          <w:sz w:val="24"/>
          <w:szCs w:val="24"/>
          <w:lang w:val="en-CA"/>
        </w:rPr>
        <w:t>also universality</w:t>
      </w:r>
      <w:r w:rsidR="005A7A7D">
        <w:rPr>
          <w:rFonts w:ascii="Times New Roman" w:hAnsi="Times New Roman"/>
          <w:sz w:val="24"/>
          <w:szCs w:val="24"/>
          <w:lang w:val="en-CA"/>
        </w:rPr>
        <w:t xml:space="preserve"> in the welfare state</w:t>
      </w:r>
      <w:r w:rsidR="008C1342">
        <w:rPr>
          <w:rFonts w:ascii="Times New Roman" w:hAnsi="Times New Roman"/>
          <w:sz w:val="24"/>
          <w:szCs w:val="24"/>
          <w:lang w:val="en-CA"/>
        </w:rPr>
        <w:t xml:space="preserve">. </w:t>
      </w:r>
      <w:r w:rsidR="002826AB">
        <w:rPr>
          <w:rFonts w:ascii="Times New Roman" w:hAnsi="Times New Roman"/>
          <w:sz w:val="24"/>
          <w:szCs w:val="24"/>
          <w:lang w:val="en-CA"/>
        </w:rPr>
        <w:t>However, as discussed later, a question is how long a time spell to acquire social rights will be accepted by the European court</w:t>
      </w:r>
      <w:r w:rsidR="001F0378">
        <w:rPr>
          <w:rFonts w:ascii="Times New Roman" w:hAnsi="Times New Roman"/>
          <w:sz w:val="24"/>
          <w:szCs w:val="24"/>
          <w:lang w:val="en-CA"/>
        </w:rPr>
        <w:t>, and thereby also that the rules on social assistance might be in need of revision to only have a shorter time to live in Denmark before being fully eligible for social assistance</w:t>
      </w:r>
      <w:r w:rsidR="002826AB">
        <w:rPr>
          <w:rFonts w:ascii="Times New Roman" w:hAnsi="Times New Roman"/>
          <w:sz w:val="24"/>
          <w:szCs w:val="24"/>
          <w:lang w:val="en-CA"/>
        </w:rPr>
        <w:t xml:space="preserve">. </w:t>
      </w:r>
    </w:p>
    <w:p w:rsidR="005D53C3" w:rsidRDefault="00684091" w:rsidP="00790EC0">
      <w:pPr>
        <w:spacing w:line="240" w:lineRule="auto"/>
        <w:jc w:val="both"/>
        <w:rPr>
          <w:rFonts w:ascii="Times New Roman" w:hAnsi="Times New Roman"/>
          <w:sz w:val="24"/>
          <w:szCs w:val="24"/>
          <w:lang w:val="en-CA"/>
        </w:rPr>
      </w:pPr>
      <w:r>
        <w:rPr>
          <w:rFonts w:ascii="Times New Roman" w:hAnsi="Times New Roman"/>
          <w:sz w:val="24"/>
          <w:szCs w:val="24"/>
          <w:lang w:val="en-CA"/>
        </w:rPr>
        <w:t>A continuation of the road to have to fulfill time lived in Denmark in order to receive certain benefits was done i</w:t>
      </w:r>
      <w:r w:rsidR="005D53C3">
        <w:rPr>
          <w:rFonts w:ascii="Times New Roman" w:hAnsi="Times New Roman"/>
          <w:sz w:val="24"/>
          <w:szCs w:val="24"/>
          <w:lang w:val="en-CA"/>
        </w:rPr>
        <w:t>n 2010</w:t>
      </w:r>
      <w:r>
        <w:rPr>
          <w:rFonts w:ascii="Times New Roman" w:hAnsi="Times New Roman"/>
          <w:sz w:val="24"/>
          <w:szCs w:val="24"/>
          <w:lang w:val="en-CA"/>
        </w:rPr>
        <w:t>. Here</w:t>
      </w:r>
      <w:r w:rsidR="005D53C3">
        <w:rPr>
          <w:rFonts w:ascii="Times New Roman" w:hAnsi="Times New Roman"/>
          <w:sz w:val="24"/>
          <w:szCs w:val="24"/>
          <w:lang w:val="en-CA"/>
        </w:rPr>
        <w:t xml:space="preserve"> a change in the </w:t>
      </w:r>
      <w:r w:rsidR="008C1342">
        <w:rPr>
          <w:rFonts w:ascii="Times New Roman" w:hAnsi="Times New Roman"/>
          <w:sz w:val="24"/>
          <w:szCs w:val="24"/>
          <w:lang w:val="en-CA"/>
        </w:rPr>
        <w:t>fam</w:t>
      </w:r>
      <w:r>
        <w:rPr>
          <w:rFonts w:ascii="Times New Roman" w:hAnsi="Times New Roman"/>
          <w:sz w:val="24"/>
          <w:szCs w:val="24"/>
          <w:lang w:val="en-CA"/>
        </w:rPr>
        <w:t>ily allowance system was</w:t>
      </w:r>
      <w:r w:rsidR="005D53C3">
        <w:rPr>
          <w:rFonts w:ascii="Times New Roman" w:hAnsi="Times New Roman"/>
          <w:sz w:val="24"/>
          <w:szCs w:val="24"/>
          <w:lang w:val="en-CA"/>
        </w:rPr>
        <w:t xml:space="preserve"> enacted. The change implied that the full child benefit would first be received when having lived in Denmark for at least two years. After 6 months within the last 10 years 25 % would be paid, and then gradually increasing so after 2 years within the last 10 years full benefit</w:t>
      </w:r>
      <w:r w:rsidR="008C1342">
        <w:rPr>
          <w:rFonts w:ascii="Times New Roman" w:hAnsi="Times New Roman"/>
          <w:sz w:val="24"/>
          <w:szCs w:val="24"/>
          <w:lang w:val="en-CA"/>
        </w:rPr>
        <w:t xml:space="preserve"> would be paid</w:t>
      </w:r>
      <w:r w:rsidR="005D53C3">
        <w:rPr>
          <w:rFonts w:ascii="Times New Roman" w:hAnsi="Times New Roman"/>
          <w:sz w:val="24"/>
          <w:szCs w:val="24"/>
          <w:lang w:val="en-CA"/>
        </w:rPr>
        <w:t>. In the suggestion for the change</w:t>
      </w:r>
      <w:r w:rsidR="005D53C3">
        <w:rPr>
          <w:rStyle w:val="Fodnotehenvisning"/>
          <w:rFonts w:ascii="Times New Roman" w:hAnsi="Times New Roman"/>
          <w:sz w:val="24"/>
          <w:szCs w:val="24"/>
          <w:lang w:val="en-CA"/>
        </w:rPr>
        <w:footnoteReference w:id="2"/>
      </w:r>
      <w:r w:rsidR="005D53C3">
        <w:rPr>
          <w:rFonts w:ascii="Times New Roman" w:hAnsi="Times New Roman"/>
          <w:sz w:val="24"/>
          <w:szCs w:val="24"/>
          <w:lang w:val="en-CA"/>
        </w:rPr>
        <w:t xml:space="preserve"> it was argued that the main reason for the change being that child and family allowances is within the scope of 883/04 and therefore witho</w:t>
      </w:r>
      <w:r w:rsidR="008C1342">
        <w:rPr>
          <w:rFonts w:ascii="Times New Roman" w:hAnsi="Times New Roman"/>
          <w:sz w:val="24"/>
          <w:szCs w:val="24"/>
          <w:lang w:val="en-CA"/>
        </w:rPr>
        <w:t>ut the change already when entering to work or</w:t>
      </w:r>
      <w:r w:rsidR="005D53C3">
        <w:rPr>
          <w:rFonts w:ascii="Times New Roman" w:hAnsi="Times New Roman"/>
          <w:sz w:val="24"/>
          <w:szCs w:val="24"/>
          <w:lang w:val="en-CA"/>
        </w:rPr>
        <w:t xml:space="preserve"> staying in Denmark and covered by the labour market regulations </w:t>
      </w:r>
      <w:r w:rsidR="008C1342">
        <w:rPr>
          <w:rFonts w:ascii="Times New Roman" w:hAnsi="Times New Roman"/>
          <w:sz w:val="24"/>
          <w:szCs w:val="24"/>
          <w:lang w:val="en-CA"/>
        </w:rPr>
        <w:t xml:space="preserve">persons </w:t>
      </w:r>
      <w:r w:rsidR="005D53C3">
        <w:rPr>
          <w:rFonts w:ascii="Times New Roman" w:hAnsi="Times New Roman"/>
          <w:sz w:val="24"/>
          <w:szCs w:val="24"/>
          <w:lang w:val="en-CA"/>
        </w:rPr>
        <w:t>would be eligible for full child benefits</w:t>
      </w:r>
      <w:r w:rsidR="005A7A7D">
        <w:rPr>
          <w:rFonts w:ascii="Times New Roman" w:hAnsi="Times New Roman"/>
          <w:sz w:val="24"/>
          <w:szCs w:val="24"/>
          <w:lang w:val="en-CA"/>
        </w:rPr>
        <w:t xml:space="preserve"> even when the child is not residing in Denmark</w:t>
      </w:r>
      <w:r w:rsidR="005D53C3">
        <w:rPr>
          <w:rFonts w:ascii="Times New Roman" w:hAnsi="Times New Roman"/>
          <w:sz w:val="24"/>
          <w:szCs w:val="24"/>
          <w:lang w:val="en-CA"/>
        </w:rPr>
        <w:t xml:space="preserve">. So, in order to avoid that persons working in Denmark for a short time-spell should have the right to receive the </w:t>
      </w:r>
      <w:r w:rsidR="008C1342">
        <w:rPr>
          <w:rFonts w:ascii="Times New Roman" w:hAnsi="Times New Roman"/>
          <w:sz w:val="24"/>
          <w:szCs w:val="24"/>
          <w:lang w:val="en-CA"/>
        </w:rPr>
        <w:t xml:space="preserve">full </w:t>
      </w:r>
      <w:r w:rsidR="005D53C3">
        <w:rPr>
          <w:rFonts w:ascii="Times New Roman" w:hAnsi="Times New Roman"/>
          <w:sz w:val="24"/>
          <w:szCs w:val="24"/>
          <w:lang w:val="en-CA"/>
        </w:rPr>
        <w:t>benefit a</w:t>
      </w:r>
      <w:r w:rsidR="00736C96">
        <w:rPr>
          <w:rFonts w:ascii="Times New Roman" w:hAnsi="Times New Roman"/>
          <w:sz w:val="24"/>
          <w:szCs w:val="24"/>
          <w:lang w:val="en-CA"/>
        </w:rPr>
        <w:t xml:space="preserve"> change in the legislation was made, and, as also argued in the proposal to the parliament: “they should have a real connection to the Danish society to be able to receive the full-benefit” (my translation). In November, 2012 there was a slight change to ensure that refugees with children not fulfilling the above mentioned requirement from day one could receive the full-benefit.</w:t>
      </w:r>
    </w:p>
    <w:p w:rsidR="00684091" w:rsidRDefault="00684091" w:rsidP="00790EC0">
      <w:pPr>
        <w:spacing w:line="240" w:lineRule="auto"/>
        <w:jc w:val="both"/>
        <w:rPr>
          <w:rFonts w:ascii="Times New Roman" w:hAnsi="Times New Roman"/>
          <w:sz w:val="24"/>
          <w:szCs w:val="24"/>
          <w:lang w:val="en-CA"/>
        </w:rPr>
      </w:pPr>
      <w:r>
        <w:rPr>
          <w:rFonts w:ascii="Times New Roman" w:hAnsi="Times New Roman"/>
          <w:sz w:val="24"/>
          <w:szCs w:val="24"/>
          <w:lang w:val="en-CA"/>
        </w:rPr>
        <w:t>However, in June, 2013 the Danish Government announced that: “It is our conclusion, that it is not possible that workers from other EU-countries shall have a certain amount of employment, before one can received the benefit”</w:t>
      </w:r>
      <w:r>
        <w:rPr>
          <w:rStyle w:val="Fodnotehenvisning"/>
          <w:rFonts w:ascii="Times New Roman" w:hAnsi="Times New Roman"/>
          <w:sz w:val="24"/>
          <w:szCs w:val="24"/>
          <w:lang w:val="en-CA"/>
        </w:rPr>
        <w:footnoteReference w:id="3"/>
      </w:r>
      <w:r w:rsidR="00D065DD">
        <w:rPr>
          <w:rFonts w:ascii="Times New Roman" w:hAnsi="Times New Roman"/>
          <w:sz w:val="24"/>
          <w:szCs w:val="24"/>
          <w:lang w:val="en-CA"/>
        </w:rPr>
        <w:t>.</w:t>
      </w:r>
      <w:r>
        <w:rPr>
          <w:rFonts w:ascii="Times New Roman" w:hAnsi="Times New Roman"/>
          <w:sz w:val="24"/>
          <w:szCs w:val="24"/>
          <w:lang w:val="en-CA"/>
        </w:rPr>
        <w:t xml:space="preserve"> This conclusion was reached based upon that the EU-commission has argued that this is against the rules regarding the free-movement concerning co-ordination of social security</w:t>
      </w:r>
      <w:r w:rsidR="00003944">
        <w:rPr>
          <w:rFonts w:ascii="Times New Roman" w:hAnsi="Times New Roman"/>
          <w:sz w:val="24"/>
          <w:szCs w:val="24"/>
          <w:lang w:val="en-CA"/>
        </w:rPr>
        <w:t>, including the aggregation principle</w:t>
      </w:r>
      <w:r>
        <w:rPr>
          <w:rFonts w:ascii="Times New Roman" w:hAnsi="Times New Roman"/>
          <w:sz w:val="24"/>
          <w:szCs w:val="24"/>
          <w:lang w:val="en-CA"/>
        </w:rPr>
        <w:t>.</w:t>
      </w:r>
      <w:r>
        <w:rPr>
          <w:rStyle w:val="Fodnotehenvisning"/>
          <w:rFonts w:ascii="Times New Roman" w:hAnsi="Times New Roman"/>
          <w:sz w:val="24"/>
          <w:szCs w:val="24"/>
          <w:lang w:val="en-CA"/>
        </w:rPr>
        <w:footnoteReference w:id="4"/>
      </w:r>
      <w:r w:rsidR="00CD166B">
        <w:rPr>
          <w:rFonts w:ascii="Times New Roman" w:hAnsi="Times New Roman"/>
          <w:sz w:val="24"/>
          <w:szCs w:val="24"/>
          <w:lang w:val="en-CA"/>
        </w:rPr>
        <w:t xml:space="preserve"> How long and how many hours one should work in Denmark as employed is it argued to be at least 9 hours per week, and, for self-employed at least 18.5 hours.</w:t>
      </w:r>
      <w:r w:rsidR="00D065DD">
        <w:rPr>
          <w:rFonts w:ascii="Times New Roman" w:hAnsi="Times New Roman"/>
          <w:sz w:val="24"/>
          <w:szCs w:val="24"/>
          <w:lang w:val="en-CA"/>
        </w:rPr>
        <w:t xml:space="preserve"> </w:t>
      </w:r>
    </w:p>
    <w:p w:rsidR="00D065DD" w:rsidRDefault="00D065DD" w:rsidP="00790EC0">
      <w:pPr>
        <w:spacing w:line="240" w:lineRule="auto"/>
        <w:jc w:val="both"/>
        <w:rPr>
          <w:rFonts w:ascii="Times New Roman" w:hAnsi="Times New Roman"/>
          <w:sz w:val="24"/>
          <w:szCs w:val="24"/>
          <w:lang w:val="en-CA"/>
        </w:rPr>
      </w:pPr>
      <w:r>
        <w:rPr>
          <w:rFonts w:ascii="Times New Roman" w:hAnsi="Times New Roman"/>
          <w:sz w:val="24"/>
          <w:szCs w:val="24"/>
          <w:lang w:val="en-CA"/>
        </w:rPr>
        <w:t>The numbers with a right t</w:t>
      </w:r>
      <w:r w:rsidR="002826AB">
        <w:rPr>
          <w:rFonts w:ascii="Times New Roman" w:hAnsi="Times New Roman"/>
          <w:sz w:val="24"/>
          <w:szCs w:val="24"/>
          <w:lang w:val="en-CA"/>
        </w:rPr>
        <w:t>o family allowances from Eastern Europe</w:t>
      </w:r>
      <w:r>
        <w:rPr>
          <w:rFonts w:ascii="Times New Roman" w:hAnsi="Times New Roman"/>
          <w:sz w:val="24"/>
          <w:szCs w:val="24"/>
          <w:lang w:val="en-CA"/>
        </w:rPr>
        <w:t xml:space="preserve"> increased from 2676 in 2006 to 5772 in 2010, and from EU in total from around 11.000 persons in 1995 to 19.000 in 2010 (Politiken, 2013</w:t>
      </w:r>
      <w:r>
        <w:rPr>
          <w:rStyle w:val="Fodnotehenvisning"/>
          <w:rFonts w:ascii="Times New Roman" w:hAnsi="Times New Roman"/>
          <w:sz w:val="24"/>
          <w:szCs w:val="24"/>
          <w:lang w:val="en-CA"/>
        </w:rPr>
        <w:footnoteReference w:id="5"/>
      </w:r>
      <w:r>
        <w:rPr>
          <w:rFonts w:ascii="Times New Roman" w:hAnsi="Times New Roman"/>
          <w:sz w:val="24"/>
          <w:szCs w:val="24"/>
          <w:lang w:val="en-CA"/>
        </w:rPr>
        <w:t>).</w:t>
      </w:r>
      <w:r w:rsidR="00607C25">
        <w:rPr>
          <w:rFonts w:ascii="Times New Roman" w:hAnsi="Times New Roman"/>
          <w:sz w:val="24"/>
          <w:szCs w:val="24"/>
          <w:lang w:val="en-CA"/>
        </w:rPr>
        <w:t xml:space="preserve"> This increase in the numbers and lack of opt</w:t>
      </w:r>
      <w:r w:rsidR="002826AB">
        <w:rPr>
          <w:rFonts w:ascii="Times New Roman" w:hAnsi="Times New Roman"/>
          <w:sz w:val="24"/>
          <w:szCs w:val="24"/>
          <w:lang w:val="en-CA"/>
        </w:rPr>
        <w:t xml:space="preserve">ions to reduce the right to get the benefit </w:t>
      </w:r>
      <w:r w:rsidR="005A7A7D">
        <w:rPr>
          <w:rFonts w:ascii="Times New Roman" w:hAnsi="Times New Roman"/>
          <w:sz w:val="24"/>
          <w:szCs w:val="24"/>
          <w:lang w:val="en-CA"/>
        </w:rPr>
        <w:t>has</w:t>
      </w:r>
      <w:r w:rsidR="00607C25">
        <w:rPr>
          <w:rFonts w:ascii="Times New Roman" w:hAnsi="Times New Roman"/>
          <w:sz w:val="24"/>
          <w:szCs w:val="24"/>
          <w:lang w:val="en-CA"/>
        </w:rPr>
        <w:t xml:space="preserve"> open</w:t>
      </w:r>
      <w:r w:rsidR="005A7A7D">
        <w:rPr>
          <w:rFonts w:ascii="Times New Roman" w:hAnsi="Times New Roman"/>
          <w:sz w:val="24"/>
          <w:szCs w:val="24"/>
          <w:lang w:val="en-CA"/>
        </w:rPr>
        <w:t>ed</w:t>
      </w:r>
      <w:r w:rsidR="00607C25">
        <w:rPr>
          <w:rFonts w:ascii="Times New Roman" w:hAnsi="Times New Roman"/>
          <w:sz w:val="24"/>
          <w:szCs w:val="24"/>
          <w:lang w:val="en-CA"/>
        </w:rPr>
        <w:t xml:space="preserve"> for a </w:t>
      </w:r>
      <w:r w:rsidR="005A7A7D">
        <w:rPr>
          <w:rFonts w:ascii="Times New Roman" w:hAnsi="Times New Roman"/>
          <w:sz w:val="24"/>
          <w:szCs w:val="24"/>
          <w:lang w:val="en-CA"/>
        </w:rPr>
        <w:t xml:space="preserve">public and political </w:t>
      </w:r>
      <w:r w:rsidR="00607C25">
        <w:rPr>
          <w:rFonts w:ascii="Times New Roman" w:hAnsi="Times New Roman"/>
          <w:sz w:val="24"/>
          <w:szCs w:val="24"/>
          <w:lang w:val="en-CA"/>
        </w:rPr>
        <w:t>debate on the legitimacy of the welfare state</w:t>
      </w:r>
      <w:r w:rsidR="002826AB">
        <w:rPr>
          <w:rFonts w:ascii="Times New Roman" w:hAnsi="Times New Roman"/>
          <w:sz w:val="24"/>
          <w:szCs w:val="24"/>
          <w:lang w:val="en-CA"/>
        </w:rPr>
        <w:t xml:space="preserve"> in the sense that some voters is not prepared to pay a benefit to children not living in Denmark</w:t>
      </w:r>
      <w:r w:rsidR="00607C25">
        <w:rPr>
          <w:rFonts w:ascii="Times New Roman" w:hAnsi="Times New Roman"/>
          <w:sz w:val="24"/>
          <w:szCs w:val="24"/>
          <w:lang w:val="en-CA"/>
        </w:rPr>
        <w:t>, and, therefore besides the increase in spending also questioning the legitimacy of the universal Danish welfare state.</w:t>
      </w:r>
    </w:p>
    <w:p w:rsidR="00663874" w:rsidRDefault="00663874" w:rsidP="00790EC0">
      <w:pPr>
        <w:spacing w:line="240" w:lineRule="auto"/>
        <w:jc w:val="both"/>
        <w:rPr>
          <w:rFonts w:ascii="Times New Roman" w:hAnsi="Times New Roman"/>
          <w:sz w:val="24"/>
          <w:szCs w:val="24"/>
          <w:lang w:val="en-CA"/>
        </w:rPr>
      </w:pPr>
      <w:r>
        <w:rPr>
          <w:rFonts w:ascii="Times New Roman" w:hAnsi="Times New Roman"/>
          <w:sz w:val="24"/>
          <w:szCs w:val="24"/>
          <w:lang w:val="en-CA"/>
        </w:rPr>
        <w:lastRenderedPageBreak/>
        <w:t xml:space="preserve">Besides the </w:t>
      </w:r>
      <w:r w:rsidR="00BD6DC4">
        <w:rPr>
          <w:rFonts w:ascii="Times New Roman" w:hAnsi="Times New Roman"/>
          <w:sz w:val="24"/>
          <w:szCs w:val="24"/>
          <w:lang w:val="en-CA"/>
        </w:rPr>
        <w:t xml:space="preserve">above mentioned and </w:t>
      </w:r>
      <w:r>
        <w:rPr>
          <w:rFonts w:ascii="Times New Roman" w:hAnsi="Times New Roman"/>
          <w:sz w:val="24"/>
          <w:szCs w:val="24"/>
          <w:lang w:val="en-CA"/>
        </w:rPr>
        <w:t>enacted changes in 2010 a committee was set down to analyse the option and possibility of enacting in more areas</w:t>
      </w:r>
      <w:r w:rsidR="005A7A7D">
        <w:rPr>
          <w:rFonts w:ascii="Times New Roman" w:hAnsi="Times New Roman"/>
          <w:sz w:val="24"/>
          <w:szCs w:val="24"/>
          <w:lang w:val="en-CA"/>
        </w:rPr>
        <w:t>,</w:t>
      </w:r>
      <w:r>
        <w:rPr>
          <w:rFonts w:ascii="Times New Roman" w:hAnsi="Times New Roman"/>
          <w:sz w:val="24"/>
          <w:szCs w:val="24"/>
          <w:lang w:val="en-CA"/>
        </w:rPr>
        <w:t xml:space="preserve"> that one should have resided in Denmark for at least some time to be eligible for </w:t>
      </w:r>
      <w:r w:rsidR="005A7A7D">
        <w:rPr>
          <w:rFonts w:ascii="Times New Roman" w:hAnsi="Times New Roman"/>
          <w:sz w:val="24"/>
          <w:szCs w:val="24"/>
          <w:lang w:val="en-CA"/>
        </w:rPr>
        <w:t xml:space="preserve">different </w:t>
      </w:r>
      <w:r>
        <w:rPr>
          <w:rFonts w:ascii="Times New Roman" w:hAnsi="Times New Roman"/>
          <w:sz w:val="24"/>
          <w:szCs w:val="24"/>
          <w:lang w:val="en-CA"/>
        </w:rPr>
        <w:t>welfare benefits. A report was published in March, 2011 (Regeringen, 2011).</w:t>
      </w:r>
      <w:r w:rsidR="003E52A6">
        <w:rPr>
          <w:rFonts w:ascii="Times New Roman" w:hAnsi="Times New Roman"/>
          <w:sz w:val="24"/>
          <w:szCs w:val="24"/>
          <w:lang w:val="en-CA"/>
        </w:rPr>
        <w:t xml:space="preserve"> The report focused on the challenges for a universal welfare state</w:t>
      </w:r>
      <w:r w:rsidR="007A3050">
        <w:rPr>
          <w:rFonts w:ascii="Times New Roman" w:hAnsi="Times New Roman"/>
          <w:sz w:val="24"/>
          <w:szCs w:val="24"/>
          <w:lang w:val="en-CA"/>
        </w:rPr>
        <w:t xml:space="preserve"> of migration including free-movement</w:t>
      </w:r>
      <w:r w:rsidR="00210EC4">
        <w:rPr>
          <w:rFonts w:ascii="Times New Roman" w:hAnsi="Times New Roman"/>
          <w:sz w:val="24"/>
          <w:szCs w:val="24"/>
          <w:lang w:val="en-CA"/>
        </w:rPr>
        <w:t xml:space="preserve"> </w:t>
      </w:r>
      <w:r w:rsidR="005A7A7D">
        <w:rPr>
          <w:rFonts w:ascii="Times New Roman" w:hAnsi="Times New Roman"/>
          <w:sz w:val="24"/>
          <w:szCs w:val="24"/>
          <w:lang w:val="en-CA"/>
        </w:rPr>
        <w:t xml:space="preserve">in relation to welfare benefits </w:t>
      </w:r>
      <w:r w:rsidR="00210EC4">
        <w:rPr>
          <w:rFonts w:ascii="Times New Roman" w:hAnsi="Times New Roman"/>
          <w:sz w:val="24"/>
          <w:szCs w:val="24"/>
          <w:lang w:val="en-CA"/>
        </w:rPr>
        <w:t xml:space="preserve">and further, in certain </w:t>
      </w:r>
      <w:r w:rsidR="007A3050">
        <w:rPr>
          <w:rFonts w:ascii="Times New Roman" w:hAnsi="Times New Roman"/>
          <w:sz w:val="24"/>
          <w:szCs w:val="24"/>
          <w:lang w:val="en-CA"/>
        </w:rPr>
        <w:t>social services areas, including</w:t>
      </w:r>
      <w:r w:rsidR="00210EC4">
        <w:rPr>
          <w:rFonts w:ascii="Times New Roman" w:hAnsi="Times New Roman"/>
          <w:sz w:val="24"/>
          <w:szCs w:val="24"/>
          <w:lang w:val="en-CA"/>
        </w:rPr>
        <w:t xml:space="preserve"> free education, and thereby </w:t>
      </w:r>
      <w:r w:rsidR="008C1342">
        <w:rPr>
          <w:rFonts w:ascii="Times New Roman" w:hAnsi="Times New Roman"/>
          <w:sz w:val="24"/>
          <w:szCs w:val="24"/>
          <w:lang w:val="en-CA"/>
        </w:rPr>
        <w:t xml:space="preserve">that </w:t>
      </w:r>
      <w:r w:rsidR="00210EC4">
        <w:rPr>
          <w:rFonts w:ascii="Times New Roman" w:hAnsi="Times New Roman"/>
          <w:sz w:val="24"/>
          <w:szCs w:val="24"/>
          <w:lang w:val="en-CA"/>
        </w:rPr>
        <w:t>not only</w:t>
      </w:r>
      <w:r w:rsidR="008C1342">
        <w:rPr>
          <w:rFonts w:ascii="Times New Roman" w:hAnsi="Times New Roman"/>
          <w:sz w:val="24"/>
          <w:szCs w:val="24"/>
          <w:lang w:val="en-CA"/>
        </w:rPr>
        <w:t xml:space="preserve"> regarding</w:t>
      </w:r>
      <w:r w:rsidR="00210EC4">
        <w:rPr>
          <w:rFonts w:ascii="Times New Roman" w:hAnsi="Times New Roman"/>
          <w:sz w:val="24"/>
          <w:szCs w:val="24"/>
          <w:lang w:val="en-CA"/>
        </w:rPr>
        <w:t xml:space="preserve"> benefits there could be a need to have waiting periods.</w:t>
      </w:r>
      <w:r w:rsidR="00BD6DC4">
        <w:rPr>
          <w:rFonts w:ascii="Times New Roman" w:hAnsi="Times New Roman"/>
          <w:sz w:val="24"/>
          <w:szCs w:val="24"/>
          <w:lang w:val="en-CA"/>
        </w:rPr>
        <w:t xml:space="preserve"> In the area of education</w:t>
      </w:r>
      <w:r w:rsidR="005A7A7D">
        <w:rPr>
          <w:rFonts w:ascii="Times New Roman" w:hAnsi="Times New Roman"/>
          <w:sz w:val="24"/>
          <w:szCs w:val="24"/>
          <w:lang w:val="en-CA"/>
        </w:rPr>
        <w:t>al grants</w:t>
      </w:r>
      <w:r w:rsidR="00607C25">
        <w:rPr>
          <w:rFonts w:ascii="Times New Roman" w:hAnsi="Times New Roman"/>
          <w:sz w:val="24"/>
          <w:szCs w:val="24"/>
          <w:lang w:val="en-CA"/>
        </w:rPr>
        <w:t xml:space="preserve"> recent case</w:t>
      </w:r>
      <w:r w:rsidR="00BD6DC4">
        <w:rPr>
          <w:rFonts w:ascii="Times New Roman" w:hAnsi="Times New Roman"/>
          <w:sz w:val="24"/>
          <w:szCs w:val="24"/>
          <w:lang w:val="en-CA"/>
        </w:rPr>
        <w:t>s</w:t>
      </w:r>
      <w:r w:rsidR="00607C25">
        <w:rPr>
          <w:rFonts w:ascii="Times New Roman" w:hAnsi="Times New Roman"/>
          <w:sz w:val="24"/>
          <w:szCs w:val="24"/>
          <w:lang w:val="en-CA"/>
        </w:rPr>
        <w:t xml:space="preserve"> </w:t>
      </w:r>
      <w:r w:rsidR="005A7A7D">
        <w:rPr>
          <w:rFonts w:ascii="Times New Roman" w:hAnsi="Times New Roman"/>
          <w:sz w:val="24"/>
          <w:szCs w:val="24"/>
          <w:lang w:val="en-CA"/>
        </w:rPr>
        <w:t xml:space="preserve">also </w:t>
      </w:r>
      <w:r w:rsidR="00607C25">
        <w:rPr>
          <w:rFonts w:ascii="Times New Roman" w:hAnsi="Times New Roman"/>
          <w:sz w:val="24"/>
          <w:szCs w:val="24"/>
          <w:lang w:val="en-CA"/>
        </w:rPr>
        <w:t>illustrates the risk for a universal welfare system</w:t>
      </w:r>
      <w:r w:rsidR="005A7A7D">
        <w:rPr>
          <w:rFonts w:ascii="Times New Roman" w:hAnsi="Times New Roman"/>
          <w:sz w:val="24"/>
          <w:szCs w:val="24"/>
          <w:lang w:val="en-CA"/>
        </w:rPr>
        <w:t xml:space="preserve"> on spending and access</w:t>
      </w:r>
      <w:r w:rsidR="00607C25">
        <w:rPr>
          <w:rFonts w:ascii="Times New Roman" w:hAnsi="Times New Roman"/>
          <w:sz w:val="24"/>
          <w:szCs w:val="24"/>
          <w:lang w:val="en-CA"/>
        </w:rPr>
        <w:t>.</w:t>
      </w:r>
    </w:p>
    <w:p w:rsidR="009B7B09" w:rsidRDefault="004C21B2" w:rsidP="00790EC0">
      <w:pPr>
        <w:spacing w:line="240" w:lineRule="auto"/>
        <w:jc w:val="both"/>
        <w:rPr>
          <w:rFonts w:ascii="Times New Roman" w:hAnsi="Times New Roman"/>
          <w:sz w:val="24"/>
          <w:szCs w:val="24"/>
          <w:lang w:val="en-CA"/>
        </w:rPr>
      </w:pPr>
      <w:r>
        <w:rPr>
          <w:rFonts w:ascii="Times New Roman" w:hAnsi="Times New Roman"/>
          <w:sz w:val="24"/>
          <w:szCs w:val="24"/>
          <w:lang w:val="en-CA"/>
        </w:rPr>
        <w:t>A court decision on the 21</w:t>
      </w:r>
      <w:r w:rsidRPr="004C21B2">
        <w:rPr>
          <w:rFonts w:ascii="Times New Roman" w:hAnsi="Times New Roman"/>
          <w:sz w:val="24"/>
          <w:szCs w:val="24"/>
          <w:vertAlign w:val="superscript"/>
          <w:lang w:val="en-CA"/>
        </w:rPr>
        <w:t>st</w:t>
      </w:r>
      <w:r>
        <w:rPr>
          <w:rFonts w:ascii="Times New Roman" w:hAnsi="Times New Roman"/>
          <w:sz w:val="24"/>
          <w:szCs w:val="24"/>
          <w:lang w:val="en-CA"/>
        </w:rPr>
        <w:t xml:space="preserve"> of February, 2013</w:t>
      </w:r>
      <w:r>
        <w:rPr>
          <w:rStyle w:val="Fodnotehenvisning"/>
          <w:rFonts w:ascii="Times New Roman" w:hAnsi="Times New Roman"/>
          <w:sz w:val="24"/>
          <w:szCs w:val="24"/>
          <w:lang w:val="en-CA"/>
        </w:rPr>
        <w:footnoteReference w:id="6"/>
      </w:r>
      <w:r>
        <w:rPr>
          <w:rFonts w:ascii="Times New Roman" w:hAnsi="Times New Roman"/>
          <w:sz w:val="24"/>
          <w:szCs w:val="24"/>
          <w:lang w:val="en-CA"/>
        </w:rPr>
        <w:t xml:space="preserve"> implied that if a</w:t>
      </w:r>
      <w:r w:rsidR="005A7A7D">
        <w:rPr>
          <w:rFonts w:ascii="Times New Roman" w:hAnsi="Times New Roman"/>
          <w:sz w:val="24"/>
          <w:szCs w:val="24"/>
          <w:lang w:val="en-CA"/>
        </w:rPr>
        <w:t xml:space="preserve"> person is taking up a job giving</w:t>
      </w:r>
      <w:r>
        <w:rPr>
          <w:rFonts w:ascii="Times New Roman" w:hAnsi="Times New Roman"/>
          <w:sz w:val="24"/>
          <w:szCs w:val="24"/>
          <w:lang w:val="en-CA"/>
        </w:rPr>
        <w:t xml:space="preserve"> a person the position as a migrant</w:t>
      </w:r>
      <w:r w:rsidR="00607C25">
        <w:rPr>
          <w:rFonts w:ascii="Times New Roman" w:hAnsi="Times New Roman"/>
          <w:sz w:val="24"/>
          <w:szCs w:val="24"/>
          <w:lang w:val="en-CA"/>
        </w:rPr>
        <w:t xml:space="preserve"> worker</w:t>
      </w:r>
      <w:r>
        <w:rPr>
          <w:rFonts w:ascii="Times New Roman" w:hAnsi="Times New Roman"/>
          <w:sz w:val="24"/>
          <w:szCs w:val="24"/>
          <w:lang w:val="en-CA"/>
        </w:rPr>
        <w:t xml:space="preserve"> then there will be access to educational </w:t>
      </w:r>
      <w:r w:rsidR="00607C25">
        <w:rPr>
          <w:rFonts w:ascii="Times New Roman" w:hAnsi="Times New Roman"/>
          <w:sz w:val="24"/>
          <w:szCs w:val="24"/>
          <w:lang w:val="en-CA"/>
        </w:rPr>
        <w:t xml:space="preserve">study </w:t>
      </w:r>
      <w:r>
        <w:rPr>
          <w:rFonts w:ascii="Times New Roman" w:hAnsi="Times New Roman"/>
          <w:sz w:val="24"/>
          <w:szCs w:val="24"/>
          <w:lang w:val="en-CA"/>
        </w:rPr>
        <w:t xml:space="preserve">grants if entering a study. </w:t>
      </w:r>
      <w:r w:rsidR="007A3050">
        <w:rPr>
          <w:rFonts w:ascii="Times New Roman" w:hAnsi="Times New Roman"/>
          <w:sz w:val="24"/>
          <w:szCs w:val="24"/>
          <w:lang w:val="en-CA"/>
        </w:rPr>
        <w:t>The court argued that regarding the free-movement: “ must be interpreted as meaning that a European Union citizen who pursues a course of studies in a host Member State whilst at the same time pursuing effective and genuine employment activities such as to confer on him the status of ‘worker’ within the meaning of Article 45 TFEU may not be refused maintenance aid for studies which is granted to the nationals of that Member State” (Case C-46/12 – ruling on the 21</w:t>
      </w:r>
      <w:r w:rsidR="007A3050" w:rsidRPr="007A3050">
        <w:rPr>
          <w:rFonts w:ascii="Times New Roman" w:hAnsi="Times New Roman"/>
          <w:sz w:val="24"/>
          <w:szCs w:val="24"/>
          <w:vertAlign w:val="superscript"/>
          <w:lang w:val="en-CA"/>
        </w:rPr>
        <w:t>st</w:t>
      </w:r>
      <w:r w:rsidR="007A3050">
        <w:rPr>
          <w:rFonts w:ascii="Times New Roman" w:hAnsi="Times New Roman"/>
          <w:sz w:val="24"/>
          <w:szCs w:val="24"/>
          <w:lang w:val="en-CA"/>
        </w:rPr>
        <w:t xml:space="preserve"> of February, 2013). Following the court decision</w:t>
      </w:r>
      <w:r>
        <w:rPr>
          <w:rFonts w:ascii="Times New Roman" w:hAnsi="Times New Roman"/>
          <w:sz w:val="24"/>
          <w:szCs w:val="24"/>
          <w:lang w:val="en-CA"/>
        </w:rPr>
        <w:t xml:space="preserve"> </w:t>
      </w:r>
      <w:r w:rsidR="005A7A7D">
        <w:rPr>
          <w:rFonts w:ascii="Times New Roman" w:hAnsi="Times New Roman"/>
          <w:sz w:val="24"/>
          <w:szCs w:val="24"/>
          <w:lang w:val="en-CA"/>
        </w:rPr>
        <w:t>it has been</w:t>
      </w:r>
      <w:r>
        <w:rPr>
          <w:rFonts w:ascii="Times New Roman" w:hAnsi="Times New Roman"/>
          <w:sz w:val="24"/>
          <w:szCs w:val="24"/>
          <w:lang w:val="en-CA"/>
        </w:rPr>
        <w:t xml:space="preserve"> estimated to cost the Danish welfare state around 30 million EURO, and h</w:t>
      </w:r>
      <w:r w:rsidR="005A7A7D">
        <w:rPr>
          <w:rFonts w:ascii="Times New Roman" w:hAnsi="Times New Roman"/>
          <w:sz w:val="24"/>
          <w:szCs w:val="24"/>
          <w:lang w:val="en-CA"/>
        </w:rPr>
        <w:t>as raised an issue about how</w:t>
      </w:r>
      <w:r>
        <w:rPr>
          <w:rFonts w:ascii="Times New Roman" w:hAnsi="Times New Roman"/>
          <w:sz w:val="24"/>
          <w:szCs w:val="24"/>
          <w:lang w:val="en-CA"/>
        </w:rPr>
        <w:t xml:space="preserve"> to change the rule also in this area</w:t>
      </w:r>
      <w:r w:rsidR="008C1342">
        <w:rPr>
          <w:rFonts w:ascii="Times New Roman" w:hAnsi="Times New Roman"/>
          <w:sz w:val="24"/>
          <w:szCs w:val="24"/>
          <w:lang w:val="en-CA"/>
        </w:rPr>
        <w:t xml:space="preserve"> by a demand for having lived in Denmark for some time before being eligible for study grants.</w:t>
      </w:r>
    </w:p>
    <w:p w:rsidR="00BD6DC4" w:rsidRDefault="009B7B09" w:rsidP="00790EC0">
      <w:pPr>
        <w:spacing w:line="240" w:lineRule="auto"/>
        <w:jc w:val="both"/>
        <w:rPr>
          <w:rFonts w:ascii="Times New Roman" w:hAnsi="Times New Roman"/>
          <w:sz w:val="24"/>
          <w:szCs w:val="24"/>
          <w:lang w:val="en-CA"/>
        </w:rPr>
      </w:pPr>
      <w:r>
        <w:rPr>
          <w:rFonts w:ascii="Times New Roman" w:hAnsi="Times New Roman"/>
          <w:sz w:val="24"/>
          <w:szCs w:val="24"/>
          <w:lang w:val="en-CA"/>
        </w:rPr>
        <w:t>In a</w:t>
      </w:r>
      <w:r w:rsidR="00BD6DC4">
        <w:rPr>
          <w:rFonts w:ascii="Times New Roman" w:hAnsi="Times New Roman"/>
          <w:sz w:val="24"/>
          <w:szCs w:val="24"/>
          <w:lang w:val="en-CA"/>
        </w:rPr>
        <w:t>nother case (Giersch – C-20/12) a preliminary ruling stated that for frontier workers Luxembourg could not deny children study grant with the existing criteria</w:t>
      </w:r>
      <w:r w:rsidR="00F770A9">
        <w:rPr>
          <w:rFonts w:ascii="Times New Roman" w:hAnsi="Times New Roman"/>
          <w:sz w:val="24"/>
          <w:szCs w:val="24"/>
          <w:lang w:val="en-CA"/>
        </w:rPr>
        <w:t xml:space="preserve"> related to condition of stay as the existing “condition nevertheless goes beyond what is necessary in order to obtain the objectives pursued” (Giersch – C-20/12 p. 14)</w:t>
      </w:r>
      <w:r w:rsidR="00976692">
        <w:rPr>
          <w:rStyle w:val="Fodnotehenvisning"/>
          <w:rFonts w:ascii="Times New Roman" w:hAnsi="Times New Roman"/>
          <w:sz w:val="24"/>
          <w:szCs w:val="24"/>
          <w:lang w:val="en-CA"/>
        </w:rPr>
        <w:footnoteReference w:id="7"/>
      </w:r>
      <w:r w:rsidR="00F770A9">
        <w:rPr>
          <w:rFonts w:ascii="Times New Roman" w:hAnsi="Times New Roman"/>
          <w:sz w:val="24"/>
          <w:szCs w:val="24"/>
          <w:lang w:val="en-CA"/>
        </w:rPr>
        <w:t xml:space="preserve">. There is thus room for some criteria, but presumably not a strong demand of long time staying in a country before being eligible for benefits. This is also the opinion of the Advocate General (Joined Cases C-523/11 and C-585/11) regarding funding abroad for higher education. Germany have a rule demanding three years of residence before having the right, and, in the case two children who has been abroad with their parents, who had been working in other countries, was denied the benefit. Due to a proportionality argument three years is too long, although this is not an argument for that a time </w:t>
      </w:r>
      <w:r w:rsidR="005A7A7D">
        <w:rPr>
          <w:rFonts w:ascii="Times New Roman" w:hAnsi="Times New Roman"/>
          <w:sz w:val="24"/>
          <w:szCs w:val="24"/>
          <w:lang w:val="en-CA"/>
        </w:rPr>
        <w:t xml:space="preserve">condition </w:t>
      </w:r>
      <w:r w:rsidR="00F770A9">
        <w:rPr>
          <w:rFonts w:ascii="Times New Roman" w:hAnsi="Times New Roman"/>
          <w:sz w:val="24"/>
          <w:szCs w:val="24"/>
          <w:lang w:val="en-CA"/>
        </w:rPr>
        <w:t>is not</w:t>
      </w:r>
      <w:r w:rsidR="005A7A7D">
        <w:rPr>
          <w:rFonts w:ascii="Times New Roman" w:hAnsi="Times New Roman"/>
          <w:sz w:val="24"/>
          <w:szCs w:val="24"/>
          <w:lang w:val="en-CA"/>
        </w:rPr>
        <w:t xml:space="preserve"> at all</w:t>
      </w:r>
      <w:r w:rsidR="00F770A9">
        <w:rPr>
          <w:rFonts w:ascii="Times New Roman" w:hAnsi="Times New Roman"/>
          <w:sz w:val="24"/>
          <w:szCs w:val="24"/>
          <w:lang w:val="en-CA"/>
        </w:rPr>
        <w:t xml:space="preserve"> possible, however it is likely that only a relatively short time </w:t>
      </w:r>
      <w:r w:rsidR="00976692">
        <w:rPr>
          <w:rFonts w:ascii="Times New Roman" w:hAnsi="Times New Roman"/>
          <w:sz w:val="24"/>
          <w:szCs w:val="24"/>
          <w:lang w:val="en-CA"/>
        </w:rPr>
        <w:t xml:space="preserve">up to around one year </w:t>
      </w:r>
      <w:r w:rsidR="00F770A9">
        <w:rPr>
          <w:rFonts w:ascii="Times New Roman" w:hAnsi="Times New Roman"/>
          <w:sz w:val="24"/>
          <w:szCs w:val="24"/>
          <w:lang w:val="en-CA"/>
        </w:rPr>
        <w:t>will be accepted.</w:t>
      </w:r>
      <w:r w:rsidR="00BD6DC4">
        <w:rPr>
          <w:rFonts w:ascii="Times New Roman" w:hAnsi="Times New Roman"/>
          <w:sz w:val="24"/>
          <w:szCs w:val="24"/>
          <w:lang w:val="en-CA"/>
        </w:rPr>
        <w:t xml:space="preserve"> </w:t>
      </w:r>
      <w:r w:rsidR="00976692">
        <w:rPr>
          <w:rFonts w:ascii="Times New Roman" w:hAnsi="Times New Roman"/>
          <w:sz w:val="24"/>
          <w:szCs w:val="24"/>
          <w:lang w:val="en-CA"/>
        </w:rPr>
        <w:t>The Danish educational grant system will thus also need to be changed as Denmark has a two year rule out of the last 10 years. This also raises the issues on the size of the benefit</w:t>
      </w:r>
      <w:r w:rsidR="005A7A7D">
        <w:rPr>
          <w:rFonts w:ascii="Times New Roman" w:hAnsi="Times New Roman"/>
          <w:sz w:val="24"/>
          <w:szCs w:val="24"/>
          <w:lang w:val="en-CA"/>
        </w:rPr>
        <w:t xml:space="preserve"> as the high level in Denmark if reduced could make it less interesting to move to Denmark in order to obtain a study grant</w:t>
      </w:r>
      <w:r w:rsidR="00976692">
        <w:rPr>
          <w:rFonts w:ascii="Times New Roman" w:hAnsi="Times New Roman"/>
          <w:sz w:val="24"/>
          <w:szCs w:val="24"/>
          <w:lang w:val="en-CA"/>
        </w:rPr>
        <w:t>.</w:t>
      </w:r>
    </w:p>
    <w:p w:rsidR="004C21B2" w:rsidRPr="00FB4DD8" w:rsidRDefault="004C21B2" w:rsidP="00790EC0">
      <w:pPr>
        <w:spacing w:line="240" w:lineRule="auto"/>
        <w:jc w:val="both"/>
        <w:rPr>
          <w:rFonts w:ascii="Times New Roman" w:hAnsi="Times New Roman"/>
          <w:sz w:val="24"/>
          <w:szCs w:val="24"/>
          <w:lang w:val="en-CA"/>
        </w:rPr>
      </w:pPr>
      <w:r>
        <w:rPr>
          <w:rFonts w:ascii="Times New Roman" w:hAnsi="Times New Roman"/>
          <w:sz w:val="24"/>
          <w:szCs w:val="24"/>
          <w:lang w:val="en-CA"/>
        </w:rPr>
        <w:t>The different cases</w:t>
      </w:r>
      <w:r w:rsidR="00976692">
        <w:rPr>
          <w:rStyle w:val="Fodnotehenvisning"/>
          <w:rFonts w:ascii="Times New Roman" w:hAnsi="Times New Roman"/>
          <w:sz w:val="24"/>
          <w:szCs w:val="24"/>
          <w:lang w:val="en-CA"/>
        </w:rPr>
        <w:footnoteReference w:id="8"/>
      </w:r>
      <w:r>
        <w:rPr>
          <w:rFonts w:ascii="Times New Roman" w:hAnsi="Times New Roman"/>
          <w:sz w:val="24"/>
          <w:szCs w:val="24"/>
          <w:lang w:val="en-CA"/>
        </w:rPr>
        <w:t xml:space="preserve"> and </w:t>
      </w:r>
      <w:r w:rsidR="007A3050">
        <w:rPr>
          <w:rFonts w:ascii="Times New Roman" w:hAnsi="Times New Roman"/>
          <w:sz w:val="24"/>
          <w:szCs w:val="24"/>
          <w:lang w:val="en-CA"/>
        </w:rPr>
        <w:t xml:space="preserve">also historical </w:t>
      </w:r>
      <w:r>
        <w:rPr>
          <w:rFonts w:ascii="Times New Roman" w:hAnsi="Times New Roman"/>
          <w:sz w:val="24"/>
          <w:szCs w:val="24"/>
          <w:lang w:val="en-CA"/>
        </w:rPr>
        <w:t xml:space="preserve">changes depicted above is a clear indication of that the combination of EU-rules on free-movement with court cases </w:t>
      </w:r>
      <w:r w:rsidR="007A3050">
        <w:rPr>
          <w:rFonts w:ascii="Times New Roman" w:hAnsi="Times New Roman"/>
          <w:sz w:val="24"/>
          <w:szCs w:val="24"/>
          <w:lang w:val="en-CA"/>
        </w:rPr>
        <w:t xml:space="preserve">and commissions </w:t>
      </w:r>
      <w:r w:rsidR="00F770A9">
        <w:rPr>
          <w:rFonts w:ascii="Times New Roman" w:hAnsi="Times New Roman"/>
          <w:sz w:val="24"/>
          <w:szCs w:val="24"/>
          <w:lang w:val="en-CA"/>
        </w:rPr>
        <w:t xml:space="preserve">intervention </w:t>
      </w:r>
      <w:r>
        <w:rPr>
          <w:rFonts w:ascii="Times New Roman" w:hAnsi="Times New Roman"/>
          <w:sz w:val="24"/>
          <w:szCs w:val="24"/>
          <w:lang w:val="en-CA"/>
        </w:rPr>
        <w:t>implies a pres</w:t>
      </w:r>
      <w:r w:rsidR="00E36B62">
        <w:rPr>
          <w:rFonts w:ascii="Times New Roman" w:hAnsi="Times New Roman"/>
          <w:sz w:val="24"/>
          <w:szCs w:val="24"/>
          <w:lang w:val="en-CA"/>
        </w:rPr>
        <w:t xml:space="preserve">sure on </w:t>
      </w:r>
      <w:r w:rsidR="005A7A7D">
        <w:rPr>
          <w:rFonts w:ascii="Times New Roman" w:hAnsi="Times New Roman"/>
          <w:sz w:val="24"/>
          <w:szCs w:val="24"/>
          <w:lang w:val="en-CA"/>
        </w:rPr>
        <w:t xml:space="preserve">the legitimacy and cost of a </w:t>
      </w:r>
      <w:r w:rsidR="00E36B62">
        <w:rPr>
          <w:rFonts w:ascii="Times New Roman" w:hAnsi="Times New Roman"/>
          <w:sz w:val="24"/>
          <w:szCs w:val="24"/>
          <w:lang w:val="en-CA"/>
        </w:rPr>
        <w:t>universal welfare state</w:t>
      </w:r>
      <w:r w:rsidR="009B7B09">
        <w:rPr>
          <w:rFonts w:ascii="Times New Roman" w:hAnsi="Times New Roman"/>
          <w:sz w:val="24"/>
          <w:szCs w:val="24"/>
          <w:lang w:val="en-CA"/>
        </w:rPr>
        <w:t>s such</w:t>
      </w:r>
      <w:r w:rsidR="00E36B62">
        <w:rPr>
          <w:rFonts w:ascii="Times New Roman" w:hAnsi="Times New Roman"/>
          <w:sz w:val="24"/>
          <w:szCs w:val="24"/>
          <w:lang w:val="en-CA"/>
        </w:rPr>
        <w:t xml:space="preserve"> as the Danish.</w:t>
      </w:r>
      <w:r>
        <w:rPr>
          <w:rFonts w:ascii="Times New Roman" w:hAnsi="Times New Roman"/>
          <w:sz w:val="24"/>
          <w:szCs w:val="24"/>
          <w:lang w:val="en-CA"/>
        </w:rPr>
        <w:t xml:space="preserve"> </w:t>
      </w:r>
      <w:r w:rsidR="00E36B62">
        <w:rPr>
          <w:rFonts w:ascii="Times New Roman" w:hAnsi="Times New Roman"/>
          <w:sz w:val="24"/>
          <w:szCs w:val="24"/>
          <w:lang w:val="en-CA"/>
        </w:rPr>
        <w:t>There will thus</w:t>
      </w:r>
      <w:r>
        <w:rPr>
          <w:rFonts w:ascii="Times New Roman" w:hAnsi="Times New Roman"/>
          <w:sz w:val="24"/>
          <w:szCs w:val="24"/>
          <w:lang w:val="en-CA"/>
        </w:rPr>
        <w:t xml:space="preserve"> presumably</w:t>
      </w:r>
      <w:r w:rsidR="00E36B62">
        <w:rPr>
          <w:rFonts w:ascii="Times New Roman" w:hAnsi="Times New Roman"/>
          <w:sz w:val="24"/>
          <w:szCs w:val="24"/>
          <w:lang w:val="en-CA"/>
        </w:rPr>
        <w:t xml:space="preserve"> also be</w:t>
      </w:r>
      <w:r>
        <w:rPr>
          <w:rFonts w:ascii="Times New Roman" w:hAnsi="Times New Roman"/>
          <w:sz w:val="24"/>
          <w:szCs w:val="24"/>
          <w:lang w:val="en-CA"/>
        </w:rPr>
        <w:t xml:space="preserve"> a constant pressure to change these systems</w:t>
      </w:r>
      <w:r w:rsidR="00E36B62">
        <w:rPr>
          <w:rFonts w:ascii="Times New Roman" w:hAnsi="Times New Roman"/>
          <w:sz w:val="24"/>
          <w:szCs w:val="24"/>
          <w:lang w:val="en-CA"/>
        </w:rPr>
        <w:t xml:space="preserve"> </w:t>
      </w:r>
      <w:r w:rsidR="008C1342">
        <w:rPr>
          <w:rFonts w:ascii="Times New Roman" w:hAnsi="Times New Roman"/>
          <w:sz w:val="24"/>
          <w:szCs w:val="24"/>
          <w:lang w:val="en-CA"/>
        </w:rPr>
        <w:t>mainly in suc</w:t>
      </w:r>
      <w:r w:rsidR="00F770A9">
        <w:rPr>
          <w:rFonts w:ascii="Times New Roman" w:hAnsi="Times New Roman"/>
          <w:sz w:val="24"/>
          <w:szCs w:val="24"/>
          <w:lang w:val="en-CA"/>
        </w:rPr>
        <w:t xml:space="preserve">h a way that length of stay </w:t>
      </w:r>
      <w:r w:rsidR="00976692">
        <w:rPr>
          <w:rFonts w:ascii="Times New Roman" w:hAnsi="Times New Roman"/>
          <w:sz w:val="24"/>
          <w:szCs w:val="24"/>
          <w:lang w:val="en-CA"/>
        </w:rPr>
        <w:t xml:space="preserve">as far as it is possible </w:t>
      </w:r>
      <w:r w:rsidR="00F770A9">
        <w:rPr>
          <w:rFonts w:ascii="Times New Roman" w:hAnsi="Times New Roman"/>
          <w:sz w:val="24"/>
          <w:szCs w:val="24"/>
          <w:lang w:val="en-CA"/>
        </w:rPr>
        <w:t>only can have a limited</w:t>
      </w:r>
      <w:r w:rsidR="008C1342">
        <w:rPr>
          <w:rFonts w:ascii="Times New Roman" w:hAnsi="Times New Roman"/>
          <w:sz w:val="24"/>
          <w:szCs w:val="24"/>
          <w:lang w:val="en-CA"/>
        </w:rPr>
        <w:t xml:space="preserve"> impact on the right to and level of </w:t>
      </w:r>
      <w:r w:rsidR="005A7A7D">
        <w:rPr>
          <w:rFonts w:ascii="Times New Roman" w:hAnsi="Times New Roman"/>
          <w:sz w:val="24"/>
          <w:szCs w:val="24"/>
          <w:lang w:val="en-CA"/>
        </w:rPr>
        <w:t>welfare</w:t>
      </w:r>
      <w:r w:rsidR="00E36B62">
        <w:rPr>
          <w:rFonts w:ascii="Times New Roman" w:hAnsi="Times New Roman"/>
          <w:sz w:val="24"/>
          <w:szCs w:val="24"/>
          <w:lang w:val="en-CA"/>
        </w:rPr>
        <w:t xml:space="preserve"> </w:t>
      </w:r>
      <w:r w:rsidR="008C1342">
        <w:rPr>
          <w:rFonts w:ascii="Times New Roman" w:hAnsi="Times New Roman"/>
          <w:sz w:val="24"/>
          <w:szCs w:val="24"/>
          <w:lang w:val="en-CA"/>
        </w:rPr>
        <w:t>benefit</w:t>
      </w:r>
      <w:r w:rsidR="005A7A7D">
        <w:rPr>
          <w:rFonts w:ascii="Times New Roman" w:hAnsi="Times New Roman"/>
          <w:sz w:val="24"/>
          <w:szCs w:val="24"/>
          <w:lang w:val="en-CA"/>
        </w:rPr>
        <w:t>s</w:t>
      </w:r>
      <w:r w:rsidR="00F770A9">
        <w:rPr>
          <w:rFonts w:ascii="Times New Roman" w:hAnsi="Times New Roman"/>
          <w:sz w:val="24"/>
          <w:szCs w:val="24"/>
          <w:lang w:val="en-CA"/>
        </w:rPr>
        <w:t xml:space="preserve">. </w:t>
      </w:r>
      <w:r w:rsidR="00976692">
        <w:rPr>
          <w:rFonts w:ascii="Times New Roman" w:hAnsi="Times New Roman"/>
          <w:sz w:val="24"/>
          <w:szCs w:val="24"/>
          <w:lang w:val="en-CA"/>
        </w:rPr>
        <w:t xml:space="preserve">Other ways will be to reduce the size of the benefits and </w:t>
      </w:r>
      <w:r w:rsidR="00976692">
        <w:rPr>
          <w:rFonts w:ascii="Times New Roman" w:hAnsi="Times New Roman"/>
          <w:sz w:val="24"/>
          <w:szCs w:val="24"/>
          <w:lang w:val="en-CA"/>
        </w:rPr>
        <w:lastRenderedPageBreak/>
        <w:t>make discretion more central and by this reduce the pressure on spending. This will reduce</w:t>
      </w:r>
      <w:r w:rsidR="008C1342">
        <w:rPr>
          <w:rFonts w:ascii="Times New Roman" w:hAnsi="Times New Roman"/>
          <w:sz w:val="24"/>
          <w:szCs w:val="24"/>
          <w:lang w:val="en-CA"/>
        </w:rPr>
        <w:t xml:space="preserve"> the universality related to citizenship</w:t>
      </w:r>
      <w:r w:rsidR="00F770A9">
        <w:rPr>
          <w:rFonts w:ascii="Times New Roman" w:hAnsi="Times New Roman"/>
          <w:sz w:val="24"/>
          <w:szCs w:val="24"/>
          <w:lang w:val="en-CA"/>
        </w:rPr>
        <w:t>, and can move the system towards a more social insurance based system or a system more targeted based upon and within the social assistance system</w:t>
      </w:r>
      <w:r w:rsidR="008C1342">
        <w:rPr>
          <w:rFonts w:ascii="Times New Roman" w:hAnsi="Times New Roman"/>
          <w:sz w:val="24"/>
          <w:szCs w:val="24"/>
          <w:lang w:val="en-CA"/>
        </w:rPr>
        <w:t>.</w:t>
      </w:r>
      <w:r w:rsidR="00E36B62">
        <w:rPr>
          <w:rFonts w:ascii="Times New Roman" w:hAnsi="Times New Roman"/>
          <w:sz w:val="24"/>
          <w:szCs w:val="24"/>
          <w:lang w:val="en-CA"/>
        </w:rPr>
        <w:t xml:space="preserve"> The changes might not only be related to</w:t>
      </w:r>
      <w:r w:rsidR="005A7A7D">
        <w:rPr>
          <w:rFonts w:ascii="Times New Roman" w:hAnsi="Times New Roman"/>
          <w:sz w:val="24"/>
          <w:szCs w:val="24"/>
          <w:lang w:val="en-CA"/>
        </w:rPr>
        <w:t xml:space="preserve"> welfare</w:t>
      </w:r>
      <w:r w:rsidR="00E36B62">
        <w:rPr>
          <w:rFonts w:ascii="Times New Roman" w:hAnsi="Times New Roman"/>
          <w:sz w:val="24"/>
          <w:szCs w:val="24"/>
          <w:lang w:val="en-CA"/>
        </w:rPr>
        <w:t xml:space="preserve"> benefits, but also social services, as the development of the service directive are an example of.</w:t>
      </w:r>
    </w:p>
    <w:p w:rsidR="00790EC0" w:rsidRDefault="00790EC0" w:rsidP="00790EC0">
      <w:pPr>
        <w:pStyle w:val="Overskrift3"/>
        <w:spacing w:line="240" w:lineRule="auto"/>
        <w:rPr>
          <w:lang w:val="en-CA"/>
        </w:rPr>
      </w:pPr>
    </w:p>
    <w:p w:rsidR="00915A58" w:rsidRPr="00FB4DD8" w:rsidRDefault="00976692" w:rsidP="00790EC0">
      <w:pPr>
        <w:pStyle w:val="Overskrift3"/>
        <w:spacing w:line="240" w:lineRule="auto"/>
        <w:rPr>
          <w:lang w:val="en-CA"/>
        </w:rPr>
      </w:pPr>
      <w:r>
        <w:rPr>
          <w:lang w:val="en-CA"/>
        </w:rPr>
        <w:t>5</w:t>
      </w:r>
      <w:r w:rsidR="00915A58" w:rsidRPr="00FB4DD8">
        <w:rPr>
          <w:lang w:val="en-CA"/>
        </w:rPr>
        <w:t xml:space="preserve"> The Service directive – a case and possible impact on social services</w:t>
      </w:r>
    </w:p>
    <w:p w:rsidR="00790EC0" w:rsidRDefault="00790EC0" w:rsidP="00790EC0">
      <w:pPr>
        <w:spacing w:line="240" w:lineRule="auto"/>
        <w:jc w:val="both"/>
        <w:rPr>
          <w:rFonts w:ascii="Times New Roman" w:hAnsi="Times New Roman"/>
          <w:sz w:val="24"/>
          <w:szCs w:val="24"/>
          <w:lang w:val="en-CA"/>
        </w:rPr>
      </w:pPr>
    </w:p>
    <w:p w:rsidR="00915A58" w:rsidRPr="00FB4DD8" w:rsidRDefault="00915A58" w:rsidP="00790EC0">
      <w:pPr>
        <w:spacing w:line="240" w:lineRule="auto"/>
        <w:jc w:val="both"/>
        <w:rPr>
          <w:rFonts w:ascii="Times New Roman" w:hAnsi="Times New Roman"/>
          <w:sz w:val="24"/>
          <w:szCs w:val="24"/>
          <w:lang w:val="en-CA"/>
        </w:rPr>
      </w:pPr>
      <w:r w:rsidRPr="00FB4DD8">
        <w:rPr>
          <w:rFonts w:ascii="Times New Roman" w:hAnsi="Times New Roman"/>
          <w:sz w:val="24"/>
          <w:szCs w:val="24"/>
          <w:lang w:val="en-CA"/>
        </w:rPr>
        <w:t xml:space="preserve">The Service </w:t>
      </w:r>
      <w:r>
        <w:rPr>
          <w:rFonts w:ascii="Times New Roman" w:hAnsi="Times New Roman"/>
          <w:sz w:val="24"/>
          <w:szCs w:val="24"/>
          <w:lang w:val="en-CA"/>
        </w:rPr>
        <w:t>D</w:t>
      </w:r>
      <w:r w:rsidRPr="00FB4DD8">
        <w:rPr>
          <w:rFonts w:ascii="Times New Roman" w:hAnsi="Times New Roman"/>
          <w:sz w:val="24"/>
          <w:szCs w:val="24"/>
          <w:lang w:val="en-CA"/>
        </w:rPr>
        <w:t>irective provides a</w:t>
      </w:r>
      <w:r w:rsidR="00D320DB">
        <w:rPr>
          <w:rFonts w:ascii="Times New Roman" w:hAnsi="Times New Roman"/>
          <w:sz w:val="24"/>
          <w:szCs w:val="24"/>
          <w:lang w:val="en-CA"/>
        </w:rPr>
        <w:t xml:space="preserve"> further and also more general</w:t>
      </w:r>
      <w:r w:rsidRPr="00FB4DD8">
        <w:rPr>
          <w:rFonts w:ascii="Times New Roman" w:hAnsi="Times New Roman"/>
          <w:sz w:val="24"/>
          <w:szCs w:val="24"/>
          <w:lang w:val="en-CA"/>
        </w:rPr>
        <w:t xml:space="preserve"> case, which will be described below, </w:t>
      </w:r>
      <w:r>
        <w:rPr>
          <w:rFonts w:ascii="Times New Roman" w:hAnsi="Times New Roman"/>
          <w:sz w:val="24"/>
          <w:szCs w:val="24"/>
          <w:lang w:val="en-CA"/>
        </w:rPr>
        <w:t>illustrating</w:t>
      </w:r>
      <w:r w:rsidRPr="00FB4DD8">
        <w:rPr>
          <w:rFonts w:ascii="Times New Roman" w:hAnsi="Times New Roman"/>
          <w:sz w:val="24"/>
          <w:szCs w:val="24"/>
          <w:lang w:val="en-CA"/>
        </w:rPr>
        <w:t xml:space="preserve"> how the principles of state and market involvement sometimes interact and can lead to different outcomes</w:t>
      </w:r>
      <w:r w:rsidR="00D320DB">
        <w:rPr>
          <w:rFonts w:ascii="Times New Roman" w:hAnsi="Times New Roman"/>
          <w:sz w:val="24"/>
          <w:szCs w:val="24"/>
          <w:lang w:val="en-CA"/>
        </w:rPr>
        <w:t xml:space="preserve">, and if the court especially has a focus on market </w:t>
      </w:r>
      <w:r w:rsidR="008C1342">
        <w:rPr>
          <w:rFonts w:ascii="Times New Roman" w:hAnsi="Times New Roman"/>
          <w:sz w:val="24"/>
          <w:szCs w:val="24"/>
          <w:lang w:val="en-CA"/>
        </w:rPr>
        <w:t xml:space="preserve">and market provision </w:t>
      </w:r>
      <w:r w:rsidR="00D320DB">
        <w:rPr>
          <w:rFonts w:ascii="Times New Roman" w:hAnsi="Times New Roman"/>
          <w:sz w:val="24"/>
          <w:szCs w:val="24"/>
          <w:lang w:val="en-CA"/>
        </w:rPr>
        <w:t xml:space="preserve">this will drive a wedge in the provision and structure of the </w:t>
      </w:r>
      <w:r w:rsidR="002A0CDE">
        <w:rPr>
          <w:rFonts w:ascii="Times New Roman" w:hAnsi="Times New Roman"/>
          <w:sz w:val="24"/>
          <w:szCs w:val="24"/>
          <w:lang w:val="en-CA"/>
        </w:rPr>
        <w:t xml:space="preserve">universal </w:t>
      </w:r>
      <w:r w:rsidR="00D320DB">
        <w:rPr>
          <w:rFonts w:ascii="Times New Roman" w:hAnsi="Times New Roman"/>
          <w:sz w:val="24"/>
          <w:szCs w:val="24"/>
          <w:lang w:val="en-CA"/>
        </w:rPr>
        <w:t xml:space="preserve">Danish </w:t>
      </w:r>
      <w:r w:rsidR="002A0CDE">
        <w:rPr>
          <w:rFonts w:ascii="Times New Roman" w:hAnsi="Times New Roman"/>
          <w:sz w:val="24"/>
          <w:szCs w:val="24"/>
          <w:lang w:val="en-CA"/>
        </w:rPr>
        <w:t xml:space="preserve">welfare </w:t>
      </w:r>
      <w:r w:rsidR="005A7A7D">
        <w:rPr>
          <w:rFonts w:ascii="Times New Roman" w:hAnsi="Times New Roman"/>
          <w:sz w:val="24"/>
          <w:szCs w:val="24"/>
          <w:lang w:val="en-CA"/>
        </w:rPr>
        <w:t xml:space="preserve">service </w:t>
      </w:r>
      <w:r w:rsidR="00D320DB">
        <w:rPr>
          <w:rFonts w:ascii="Times New Roman" w:hAnsi="Times New Roman"/>
          <w:sz w:val="24"/>
          <w:szCs w:val="24"/>
          <w:lang w:val="en-CA"/>
        </w:rPr>
        <w:t>model</w:t>
      </w:r>
      <w:r w:rsidR="008C1342">
        <w:rPr>
          <w:rFonts w:ascii="Times New Roman" w:hAnsi="Times New Roman"/>
          <w:sz w:val="24"/>
          <w:szCs w:val="24"/>
          <w:lang w:val="en-CA"/>
        </w:rPr>
        <w:t xml:space="preserve"> and implying </w:t>
      </w:r>
      <w:r w:rsidR="005A7A7D">
        <w:rPr>
          <w:rFonts w:ascii="Times New Roman" w:hAnsi="Times New Roman"/>
          <w:sz w:val="24"/>
          <w:szCs w:val="24"/>
          <w:lang w:val="en-CA"/>
        </w:rPr>
        <w:t xml:space="preserve">over time a </w:t>
      </w:r>
      <w:r w:rsidR="008C1342">
        <w:rPr>
          <w:rFonts w:ascii="Times New Roman" w:hAnsi="Times New Roman"/>
          <w:sz w:val="24"/>
          <w:szCs w:val="24"/>
          <w:lang w:val="en-CA"/>
        </w:rPr>
        <w:t>less strong state involvement</w:t>
      </w:r>
      <w:r w:rsidRPr="00FB4DD8">
        <w:rPr>
          <w:rFonts w:ascii="Times New Roman" w:hAnsi="Times New Roman"/>
          <w:sz w:val="24"/>
          <w:szCs w:val="24"/>
          <w:lang w:val="en-CA"/>
        </w:rPr>
        <w:t xml:space="preserve">. This </w:t>
      </w:r>
      <w:r w:rsidR="009B7B09">
        <w:rPr>
          <w:rFonts w:ascii="Times New Roman" w:hAnsi="Times New Roman"/>
          <w:sz w:val="24"/>
          <w:szCs w:val="24"/>
          <w:lang w:val="en-CA"/>
        </w:rPr>
        <w:t>is</w:t>
      </w:r>
      <w:r w:rsidR="00D320DB">
        <w:rPr>
          <w:rFonts w:ascii="Times New Roman" w:hAnsi="Times New Roman"/>
          <w:sz w:val="24"/>
          <w:szCs w:val="24"/>
          <w:lang w:val="en-CA"/>
        </w:rPr>
        <w:t xml:space="preserve"> </w:t>
      </w:r>
      <w:r w:rsidRPr="00FB4DD8">
        <w:rPr>
          <w:rFonts w:ascii="Times New Roman" w:hAnsi="Times New Roman"/>
          <w:sz w:val="24"/>
          <w:szCs w:val="24"/>
          <w:lang w:val="en-CA"/>
        </w:rPr>
        <w:t>due to that a central issue related to social service</w:t>
      </w:r>
      <w:r>
        <w:rPr>
          <w:rFonts w:ascii="Times New Roman" w:hAnsi="Times New Roman"/>
          <w:sz w:val="24"/>
          <w:szCs w:val="24"/>
          <w:lang w:val="en-CA"/>
        </w:rPr>
        <w:t>s</w:t>
      </w:r>
      <w:r w:rsidRPr="00FB4DD8">
        <w:rPr>
          <w:rFonts w:ascii="Times New Roman" w:hAnsi="Times New Roman"/>
          <w:sz w:val="24"/>
          <w:szCs w:val="24"/>
          <w:lang w:val="en-CA"/>
        </w:rPr>
        <w:t xml:space="preserve"> is whether the service is a good that should be provided by the market and be </w:t>
      </w:r>
      <w:r>
        <w:rPr>
          <w:rFonts w:ascii="Times New Roman" w:hAnsi="Times New Roman"/>
          <w:sz w:val="24"/>
          <w:szCs w:val="24"/>
          <w:lang w:val="en-CA"/>
        </w:rPr>
        <w:t>available for purchase on</w:t>
      </w:r>
      <w:r w:rsidRPr="00FB4DD8">
        <w:rPr>
          <w:rFonts w:ascii="Times New Roman" w:hAnsi="Times New Roman"/>
          <w:sz w:val="24"/>
          <w:szCs w:val="24"/>
          <w:lang w:val="en-CA"/>
        </w:rPr>
        <w:t xml:space="preserve"> the market at </w:t>
      </w:r>
      <w:r>
        <w:rPr>
          <w:rFonts w:ascii="Times New Roman" w:hAnsi="Times New Roman"/>
          <w:sz w:val="24"/>
          <w:szCs w:val="24"/>
          <w:lang w:val="en-CA"/>
        </w:rPr>
        <w:t>a</w:t>
      </w:r>
      <w:r w:rsidRPr="00FB4DD8">
        <w:rPr>
          <w:rFonts w:ascii="Times New Roman" w:hAnsi="Times New Roman"/>
          <w:sz w:val="24"/>
          <w:szCs w:val="24"/>
          <w:lang w:val="en-CA"/>
        </w:rPr>
        <w:t xml:space="preserve"> given price</w:t>
      </w:r>
      <w:r>
        <w:rPr>
          <w:rFonts w:ascii="Times New Roman" w:hAnsi="Times New Roman"/>
          <w:sz w:val="24"/>
          <w:szCs w:val="24"/>
          <w:lang w:val="en-CA"/>
        </w:rPr>
        <w:t>,</w:t>
      </w:r>
      <w:r w:rsidRPr="00FB4DD8">
        <w:rPr>
          <w:rFonts w:ascii="Times New Roman" w:hAnsi="Times New Roman"/>
          <w:sz w:val="24"/>
          <w:szCs w:val="24"/>
          <w:lang w:val="en-CA"/>
        </w:rPr>
        <w:t xml:space="preserve"> or whether it is a public good provided </w:t>
      </w:r>
      <w:r>
        <w:rPr>
          <w:rFonts w:ascii="Times New Roman" w:hAnsi="Times New Roman"/>
          <w:sz w:val="24"/>
          <w:szCs w:val="24"/>
          <w:lang w:val="en-CA"/>
        </w:rPr>
        <w:t xml:space="preserve">as a result of </w:t>
      </w:r>
      <w:r w:rsidRPr="00FB4DD8">
        <w:rPr>
          <w:rFonts w:ascii="Times New Roman" w:hAnsi="Times New Roman"/>
          <w:sz w:val="24"/>
          <w:szCs w:val="24"/>
          <w:lang w:val="en-CA"/>
        </w:rPr>
        <w:t xml:space="preserve">some of the </w:t>
      </w:r>
      <w:r w:rsidR="006C0BEE" w:rsidRPr="00FB4DD8">
        <w:rPr>
          <w:rFonts w:ascii="Times New Roman" w:hAnsi="Times New Roman"/>
          <w:sz w:val="24"/>
          <w:szCs w:val="24"/>
          <w:lang w:val="en-CA"/>
        </w:rPr>
        <w:t>logics</w:t>
      </w:r>
      <w:r w:rsidRPr="00FB4DD8">
        <w:rPr>
          <w:rFonts w:ascii="Times New Roman" w:hAnsi="Times New Roman"/>
          <w:sz w:val="24"/>
          <w:szCs w:val="24"/>
          <w:lang w:val="en-CA"/>
        </w:rPr>
        <w:t xml:space="preserve"> for providing public goods. </w:t>
      </w:r>
      <w:r w:rsidR="00D320DB">
        <w:rPr>
          <w:rFonts w:ascii="Times New Roman" w:hAnsi="Times New Roman"/>
          <w:sz w:val="24"/>
          <w:szCs w:val="24"/>
          <w:lang w:val="en-CA"/>
        </w:rPr>
        <w:t>Over time the boundaries between state, market and civil society has changed.</w:t>
      </w:r>
      <w:r w:rsidR="00D713DC">
        <w:rPr>
          <w:rFonts w:ascii="Times New Roman" w:hAnsi="Times New Roman"/>
          <w:sz w:val="24"/>
          <w:szCs w:val="24"/>
          <w:lang w:val="en-CA"/>
        </w:rPr>
        <w:t xml:space="preserve"> </w:t>
      </w:r>
      <w:r w:rsidRPr="00FB4DD8">
        <w:rPr>
          <w:rFonts w:ascii="Times New Roman" w:hAnsi="Times New Roman"/>
          <w:sz w:val="24"/>
          <w:szCs w:val="24"/>
          <w:lang w:val="en-CA"/>
        </w:rPr>
        <w:t xml:space="preserve">Care for </w:t>
      </w:r>
      <w:r>
        <w:rPr>
          <w:rFonts w:ascii="Times New Roman" w:hAnsi="Times New Roman"/>
          <w:sz w:val="24"/>
          <w:szCs w:val="24"/>
          <w:lang w:val="en-CA"/>
        </w:rPr>
        <w:t xml:space="preserve">the </w:t>
      </w:r>
      <w:r w:rsidRPr="00FB4DD8">
        <w:rPr>
          <w:rFonts w:ascii="Times New Roman" w:hAnsi="Times New Roman"/>
          <w:sz w:val="24"/>
          <w:szCs w:val="24"/>
          <w:lang w:val="en-CA"/>
        </w:rPr>
        <w:t>elderly could</w:t>
      </w:r>
      <w:r w:rsidR="00D320DB">
        <w:rPr>
          <w:rFonts w:ascii="Times New Roman" w:hAnsi="Times New Roman"/>
          <w:sz w:val="24"/>
          <w:szCs w:val="24"/>
          <w:lang w:val="en-CA"/>
        </w:rPr>
        <w:t>, as an example,</w:t>
      </w:r>
      <w:r w:rsidRPr="00FB4DD8">
        <w:rPr>
          <w:rFonts w:ascii="Times New Roman" w:hAnsi="Times New Roman"/>
          <w:sz w:val="24"/>
          <w:szCs w:val="24"/>
          <w:lang w:val="en-CA"/>
        </w:rPr>
        <w:t xml:space="preserve"> in principle be provided</w:t>
      </w:r>
      <w:r w:rsidR="004E2E1F">
        <w:rPr>
          <w:rFonts w:ascii="Times New Roman" w:hAnsi="Times New Roman"/>
          <w:sz w:val="24"/>
          <w:szCs w:val="24"/>
          <w:lang w:val="en-CA"/>
        </w:rPr>
        <w:t>,</w:t>
      </w:r>
      <w:r w:rsidRPr="00FB4DD8">
        <w:rPr>
          <w:rFonts w:ascii="Times New Roman" w:hAnsi="Times New Roman"/>
          <w:sz w:val="24"/>
          <w:szCs w:val="24"/>
          <w:lang w:val="en-CA"/>
        </w:rPr>
        <w:t xml:space="preserve"> </w:t>
      </w:r>
      <w:r w:rsidRPr="006F6A6F">
        <w:rPr>
          <w:rFonts w:ascii="Times New Roman" w:hAnsi="Times New Roman"/>
          <w:sz w:val="24"/>
          <w:szCs w:val="24"/>
          <w:lang w:val="en-CA"/>
        </w:rPr>
        <w:t>not only as earlier</w:t>
      </w:r>
      <w:r w:rsidRPr="004E2E1F">
        <w:rPr>
          <w:rFonts w:ascii="Times New Roman" w:hAnsi="Times New Roman"/>
          <w:sz w:val="24"/>
          <w:szCs w:val="24"/>
          <w:lang w:val="en-CA"/>
        </w:rPr>
        <w:t xml:space="preserve"> mainly by the family, but also by the market. Given that</w:t>
      </w:r>
      <w:r w:rsidRPr="00FB4DD8">
        <w:rPr>
          <w:rFonts w:ascii="Times New Roman" w:hAnsi="Times New Roman"/>
          <w:sz w:val="24"/>
          <w:szCs w:val="24"/>
          <w:lang w:val="en-CA"/>
        </w:rPr>
        <w:t xml:space="preserve"> it is very difficult to estimate the precise need for </w:t>
      </w:r>
      <w:r w:rsidR="00D320DB">
        <w:rPr>
          <w:rFonts w:ascii="Times New Roman" w:hAnsi="Times New Roman"/>
          <w:sz w:val="24"/>
          <w:szCs w:val="24"/>
          <w:lang w:val="en-CA"/>
        </w:rPr>
        <w:t xml:space="preserve">elderly </w:t>
      </w:r>
      <w:r w:rsidRPr="00FB4DD8">
        <w:rPr>
          <w:rFonts w:ascii="Times New Roman" w:hAnsi="Times New Roman"/>
          <w:sz w:val="24"/>
          <w:szCs w:val="24"/>
          <w:lang w:val="en-CA"/>
        </w:rPr>
        <w:t>care</w:t>
      </w:r>
      <w:r w:rsidR="00D320DB">
        <w:rPr>
          <w:rFonts w:ascii="Times New Roman" w:hAnsi="Times New Roman"/>
          <w:sz w:val="24"/>
          <w:szCs w:val="24"/>
          <w:lang w:val="en-CA"/>
        </w:rPr>
        <w:t xml:space="preserve"> before the need actually is there</w:t>
      </w:r>
      <w:r w:rsidRPr="00FB4DD8">
        <w:rPr>
          <w:rFonts w:ascii="Times New Roman" w:hAnsi="Times New Roman"/>
          <w:sz w:val="24"/>
          <w:szCs w:val="24"/>
          <w:lang w:val="en-CA"/>
        </w:rPr>
        <w:t>, this has been coped with financially by the welfare state in one way or another</w:t>
      </w:r>
      <w:r w:rsidR="00D320DB">
        <w:rPr>
          <w:rFonts w:ascii="Times New Roman" w:hAnsi="Times New Roman"/>
          <w:sz w:val="24"/>
          <w:szCs w:val="24"/>
          <w:lang w:val="en-CA"/>
        </w:rPr>
        <w:t>, seen as argued by Barr that the welfare state is a Piggy Bank</w:t>
      </w:r>
      <w:r w:rsidRPr="00FB4DD8">
        <w:rPr>
          <w:rFonts w:ascii="Times New Roman" w:hAnsi="Times New Roman"/>
          <w:sz w:val="24"/>
          <w:szCs w:val="24"/>
          <w:lang w:val="en-CA"/>
        </w:rPr>
        <w:t>. The same is to a large degree the case of health care, where recent years</w:t>
      </w:r>
      <w:r>
        <w:rPr>
          <w:rFonts w:ascii="Times New Roman" w:hAnsi="Times New Roman"/>
          <w:sz w:val="24"/>
          <w:szCs w:val="24"/>
          <w:lang w:val="en-CA"/>
        </w:rPr>
        <w:t xml:space="preserve"> of</w:t>
      </w:r>
      <w:r w:rsidRPr="00FB4DD8">
        <w:rPr>
          <w:rFonts w:ascii="Times New Roman" w:hAnsi="Times New Roman"/>
          <w:sz w:val="24"/>
          <w:szCs w:val="24"/>
          <w:lang w:val="en-CA"/>
        </w:rPr>
        <w:t xml:space="preserve"> development have seen some changes.</w:t>
      </w:r>
    </w:p>
    <w:p w:rsidR="00915A58" w:rsidRPr="00FB4DD8" w:rsidRDefault="00915A58" w:rsidP="00790EC0">
      <w:pPr>
        <w:spacing w:line="240" w:lineRule="auto"/>
        <w:jc w:val="both"/>
        <w:rPr>
          <w:rFonts w:ascii="Times New Roman" w:hAnsi="Times New Roman"/>
          <w:sz w:val="24"/>
          <w:szCs w:val="24"/>
          <w:lang w:val="en-CA"/>
        </w:rPr>
      </w:pPr>
      <w:r w:rsidRPr="00FB4DD8">
        <w:rPr>
          <w:rFonts w:ascii="Times New Roman" w:hAnsi="Times New Roman"/>
          <w:sz w:val="24"/>
          <w:szCs w:val="24"/>
          <w:lang w:val="en-CA"/>
        </w:rPr>
        <w:t xml:space="preserve">Part of the reason for the development of the </w:t>
      </w:r>
      <w:r>
        <w:rPr>
          <w:rFonts w:ascii="Times New Roman" w:hAnsi="Times New Roman"/>
          <w:sz w:val="24"/>
          <w:szCs w:val="24"/>
          <w:lang w:val="en-CA"/>
        </w:rPr>
        <w:t>S</w:t>
      </w:r>
      <w:r w:rsidRPr="00FB4DD8">
        <w:rPr>
          <w:rFonts w:ascii="Times New Roman" w:hAnsi="Times New Roman"/>
          <w:sz w:val="24"/>
          <w:szCs w:val="24"/>
          <w:lang w:val="en-CA"/>
        </w:rPr>
        <w:t xml:space="preserve">ervice </w:t>
      </w:r>
      <w:r>
        <w:rPr>
          <w:rFonts w:ascii="Times New Roman" w:hAnsi="Times New Roman"/>
          <w:sz w:val="24"/>
          <w:szCs w:val="24"/>
          <w:lang w:val="en-CA"/>
        </w:rPr>
        <w:t>D</w:t>
      </w:r>
      <w:r w:rsidRPr="00FB4DD8">
        <w:rPr>
          <w:rFonts w:ascii="Times New Roman" w:hAnsi="Times New Roman"/>
          <w:sz w:val="24"/>
          <w:szCs w:val="24"/>
          <w:lang w:val="en-CA"/>
        </w:rPr>
        <w:t>irective has been the change in case law, or more</w:t>
      </w:r>
      <w:r>
        <w:rPr>
          <w:rFonts w:ascii="Times New Roman" w:hAnsi="Times New Roman"/>
          <w:sz w:val="24"/>
          <w:szCs w:val="24"/>
          <w:lang w:val="en-CA"/>
        </w:rPr>
        <w:t xml:space="preserve"> importantly</w:t>
      </w:r>
      <w:r w:rsidRPr="00FB4DD8">
        <w:rPr>
          <w:rFonts w:ascii="Times New Roman" w:hAnsi="Times New Roman"/>
          <w:sz w:val="24"/>
          <w:szCs w:val="24"/>
          <w:lang w:val="en-CA"/>
        </w:rPr>
        <w:t xml:space="preserve"> that a number of cases gave a clear indication of </w:t>
      </w:r>
      <w:r>
        <w:rPr>
          <w:rFonts w:ascii="Times New Roman" w:hAnsi="Times New Roman"/>
          <w:sz w:val="24"/>
          <w:szCs w:val="24"/>
          <w:lang w:val="en-CA"/>
        </w:rPr>
        <w:t xml:space="preserve">the fact </w:t>
      </w:r>
      <w:r w:rsidRPr="00FB4DD8">
        <w:rPr>
          <w:rFonts w:ascii="Times New Roman" w:hAnsi="Times New Roman"/>
          <w:sz w:val="24"/>
          <w:szCs w:val="24"/>
          <w:lang w:val="en-CA"/>
        </w:rPr>
        <w:t>that “judicial activism has clarified that the Community principles of free movement of goods and service apply to health</w:t>
      </w:r>
      <w:r>
        <w:rPr>
          <w:rFonts w:ascii="Times New Roman" w:hAnsi="Times New Roman"/>
          <w:sz w:val="24"/>
          <w:szCs w:val="24"/>
          <w:lang w:val="en-CA"/>
        </w:rPr>
        <w:t xml:space="preserve"> </w:t>
      </w:r>
      <w:r w:rsidRPr="00FB4DD8">
        <w:rPr>
          <w:rFonts w:ascii="Times New Roman" w:hAnsi="Times New Roman"/>
          <w:sz w:val="24"/>
          <w:szCs w:val="24"/>
          <w:lang w:val="en-CA"/>
        </w:rPr>
        <w:t>care policy field” (Martinsen, 2005 p. 1031)</w:t>
      </w:r>
      <w:r w:rsidR="00D320DB">
        <w:rPr>
          <w:rFonts w:ascii="Times New Roman" w:hAnsi="Times New Roman"/>
          <w:sz w:val="24"/>
          <w:szCs w:val="24"/>
          <w:lang w:val="en-CA"/>
        </w:rPr>
        <w:t xml:space="preserve">, and </w:t>
      </w:r>
      <w:r w:rsidRPr="00FB4DD8">
        <w:rPr>
          <w:rFonts w:ascii="Times New Roman" w:hAnsi="Times New Roman"/>
          <w:sz w:val="24"/>
          <w:szCs w:val="24"/>
          <w:lang w:val="en-CA"/>
        </w:rPr>
        <w:t xml:space="preserve">that national rules regarding </w:t>
      </w:r>
      <w:r>
        <w:rPr>
          <w:rFonts w:ascii="Times New Roman" w:hAnsi="Times New Roman"/>
          <w:sz w:val="24"/>
          <w:szCs w:val="24"/>
          <w:lang w:val="en-CA"/>
        </w:rPr>
        <w:t xml:space="preserve">the </w:t>
      </w:r>
      <w:r w:rsidRPr="00FB4DD8">
        <w:rPr>
          <w:rFonts w:ascii="Times New Roman" w:hAnsi="Times New Roman"/>
          <w:sz w:val="24"/>
          <w:szCs w:val="24"/>
          <w:lang w:val="en-CA"/>
        </w:rPr>
        <w:t xml:space="preserve">authorization of who to provide non-hospital care </w:t>
      </w:r>
      <w:r>
        <w:rPr>
          <w:rFonts w:ascii="Times New Roman" w:hAnsi="Times New Roman"/>
          <w:sz w:val="24"/>
          <w:szCs w:val="24"/>
          <w:lang w:val="en-CA"/>
        </w:rPr>
        <w:t xml:space="preserve">for </w:t>
      </w:r>
      <w:r w:rsidRPr="00FB4DD8">
        <w:rPr>
          <w:rFonts w:ascii="Times New Roman" w:hAnsi="Times New Roman"/>
          <w:sz w:val="24"/>
          <w:szCs w:val="24"/>
          <w:lang w:val="en-CA"/>
        </w:rPr>
        <w:t xml:space="preserve">was a barrier </w:t>
      </w:r>
      <w:r>
        <w:rPr>
          <w:rFonts w:ascii="Times New Roman" w:hAnsi="Times New Roman"/>
          <w:sz w:val="24"/>
          <w:szCs w:val="24"/>
          <w:lang w:val="en-CA"/>
        </w:rPr>
        <w:t xml:space="preserve">that was </w:t>
      </w:r>
      <w:r w:rsidRPr="00FB4DD8">
        <w:rPr>
          <w:rFonts w:ascii="Times New Roman" w:hAnsi="Times New Roman"/>
          <w:sz w:val="24"/>
          <w:szCs w:val="24"/>
          <w:lang w:val="en-CA"/>
        </w:rPr>
        <w:t xml:space="preserve">not in accordance with the rules of </w:t>
      </w:r>
      <w:r>
        <w:rPr>
          <w:rFonts w:ascii="Times New Roman" w:hAnsi="Times New Roman"/>
          <w:sz w:val="24"/>
          <w:szCs w:val="24"/>
          <w:lang w:val="en-CA"/>
        </w:rPr>
        <w:t xml:space="preserve">the </w:t>
      </w:r>
      <w:r w:rsidRPr="00FB4DD8">
        <w:rPr>
          <w:rFonts w:ascii="Times New Roman" w:hAnsi="Times New Roman"/>
          <w:sz w:val="24"/>
          <w:szCs w:val="24"/>
          <w:lang w:val="en-CA"/>
        </w:rPr>
        <w:t>free movement of services. In general this has implied that since the end of the 1990s</w:t>
      </w:r>
      <w:r>
        <w:rPr>
          <w:rFonts w:ascii="Times New Roman" w:hAnsi="Times New Roman"/>
          <w:sz w:val="24"/>
          <w:szCs w:val="24"/>
          <w:lang w:val="en-CA"/>
        </w:rPr>
        <w:t>,</w:t>
      </w:r>
      <w:r w:rsidRPr="00FB4DD8">
        <w:rPr>
          <w:rFonts w:ascii="Times New Roman" w:hAnsi="Times New Roman"/>
          <w:sz w:val="24"/>
          <w:szCs w:val="24"/>
          <w:lang w:val="en-CA"/>
        </w:rPr>
        <w:t xml:space="preserve"> a number of </w:t>
      </w:r>
      <w:r w:rsidR="00D320DB">
        <w:rPr>
          <w:rFonts w:ascii="Times New Roman" w:hAnsi="Times New Roman"/>
          <w:sz w:val="24"/>
          <w:szCs w:val="24"/>
          <w:lang w:val="en-CA"/>
        </w:rPr>
        <w:t xml:space="preserve">European court </w:t>
      </w:r>
      <w:r w:rsidRPr="00FB4DD8">
        <w:rPr>
          <w:rFonts w:ascii="Times New Roman" w:hAnsi="Times New Roman"/>
          <w:sz w:val="24"/>
          <w:szCs w:val="24"/>
          <w:lang w:val="en-CA"/>
        </w:rPr>
        <w:t xml:space="preserve">cases have expanded </w:t>
      </w:r>
      <w:r>
        <w:rPr>
          <w:rFonts w:ascii="Times New Roman" w:hAnsi="Times New Roman"/>
          <w:sz w:val="24"/>
          <w:szCs w:val="24"/>
          <w:lang w:val="en-CA"/>
        </w:rPr>
        <w:t xml:space="preserve">the </w:t>
      </w:r>
      <w:r w:rsidRPr="00FB4DD8">
        <w:rPr>
          <w:rFonts w:ascii="Times New Roman" w:hAnsi="Times New Roman"/>
          <w:sz w:val="24"/>
          <w:szCs w:val="24"/>
          <w:lang w:val="en-CA"/>
        </w:rPr>
        <w:t>citizen</w:t>
      </w:r>
      <w:r>
        <w:rPr>
          <w:rFonts w:ascii="Times New Roman" w:hAnsi="Times New Roman"/>
          <w:sz w:val="24"/>
          <w:szCs w:val="24"/>
          <w:lang w:val="en-CA"/>
        </w:rPr>
        <w:t>’</w:t>
      </w:r>
      <w:r w:rsidRPr="00FB4DD8">
        <w:rPr>
          <w:rFonts w:ascii="Times New Roman" w:hAnsi="Times New Roman"/>
          <w:sz w:val="24"/>
          <w:szCs w:val="24"/>
          <w:lang w:val="en-CA"/>
        </w:rPr>
        <w:t xml:space="preserve">s right to planned health care also in other countries </w:t>
      </w:r>
      <w:r>
        <w:rPr>
          <w:rFonts w:ascii="Times New Roman" w:hAnsi="Times New Roman"/>
          <w:sz w:val="24"/>
          <w:szCs w:val="24"/>
          <w:lang w:val="en-CA"/>
        </w:rPr>
        <w:t>beyond that of</w:t>
      </w:r>
      <w:r w:rsidRPr="00FB4DD8">
        <w:rPr>
          <w:rFonts w:ascii="Times New Roman" w:hAnsi="Times New Roman"/>
          <w:sz w:val="24"/>
          <w:szCs w:val="24"/>
          <w:lang w:val="en-CA"/>
        </w:rPr>
        <w:t xml:space="preserve"> the home country (Kumlin, 2010). The idea </w:t>
      </w:r>
      <w:r>
        <w:rPr>
          <w:rFonts w:ascii="Times New Roman" w:hAnsi="Times New Roman"/>
          <w:sz w:val="24"/>
          <w:szCs w:val="24"/>
          <w:lang w:val="en-CA"/>
        </w:rPr>
        <w:t>is</w:t>
      </w:r>
      <w:r w:rsidRPr="00FB4DD8">
        <w:rPr>
          <w:rFonts w:ascii="Times New Roman" w:hAnsi="Times New Roman"/>
          <w:sz w:val="24"/>
          <w:szCs w:val="24"/>
          <w:lang w:val="en-CA"/>
        </w:rPr>
        <w:t xml:space="preserve"> that </w:t>
      </w:r>
      <w:r>
        <w:rPr>
          <w:rFonts w:ascii="Times New Roman" w:hAnsi="Times New Roman"/>
          <w:sz w:val="24"/>
          <w:szCs w:val="24"/>
          <w:lang w:val="en-CA"/>
        </w:rPr>
        <w:t>people</w:t>
      </w:r>
      <w:r w:rsidRPr="00FB4DD8">
        <w:rPr>
          <w:rFonts w:ascii="Times New Roman" w:hAnsi="Times New Roman"/>
          <w:sz w:val="24"/>
          <w:szCs w:val="24"/>
          <w:lang w:val="en-CA"/>
        </w:rPr>
        <w:t xml:space="preserve"> could also travel or use services in neighbo</w:t>
      </w:r>
      <w:r>
        <w:rPr>
          <w:rFonts w:ascii="Times New Roman" w:hAnsi="Times New Roman"/>
          <w:sz w:val="24"/>
          <w:szCs w:val="24"/>
          <w:lang w:val="en-CA"/>
        </w:rPr>
        <w:t>u</w:t>
      </w:r>
      <w:r w:rsidRPr="00FB4DD8">
        <w:rPr>
          <w:rFonts w:ascii="Times New Roman" w:hAnsi="Times New Roman"/>
          <w:sz w:val="24"/>
          <w:szCs w:val="24"/>
          <w:lang w:val="en-CA"/>
        </w:rPr>
        <w:t>ring countries in areas such as physiotherapy, dent</w:t>
      </w:r>
      <w:r>
        <w:rPr>
          <w:rFonts w:ascii="Times New Roman" w:hAnsi="Times New Roman"/>
          <w:sz w:val="24"/>
          <w:szCs w:val="24"/>
          <w:lang w:val="en-CA"/>
        </w:rPr>
        <w:t>al</w:t>
      </w:r>
      <w:r w:rsidRPr="00FB4DD8">
        <w:rPr>
          <w:rFonts w:ascii="Times New Roman" w:hAnsi="Times New Roman"/>
          <w:sz w:val="24"/>
          <w:szCs w:val="24"/>
          <w:lang w:val="en-CA"/>
        </w:rPr>
        <w:t xml:space="preserve"> </w:t>
      </w:r>
      <w:r>
        <w:rPr>
          <w:rFonts w:ascii="Times New Roman" w:hAnsi="Times New Roman"/>
          <w:sz w:val="24"/>
          <w:szCs w:val="24"/>
          <w:lang w:val="en-CA"/>
        </w:rPr>
        <w:t xml:space="preserve">and medical </w:t>
      </w:r>
      <w:r w:rsidRPr="00FB4DD8">
        <w:rPr>
          <w:rFonts w:ascii="Times New Roman" w:hAnsi="Times New Roman"/>
          <w:sz w:val="24"/>
          <w:szCs w:val="24"/>
          <w:lang w:val="en-CA"/>
        </w:rPr>
        <w:t>treatment</w:t>
      </w:r>
      <w:r>
        <w:rPr>
          <w:rFonts w:ascii="Times New Roman" w:hAnsi="Times New Roman"/>
          <w:sz w:val="24"/>
          <w:szCs w:val="24"/>
          <w:lang w:val="en-CA"/>
        </w:rPr>
        <w:t>,</w:t>
      </w:r>
      <w:r w:rsidRPr="00FB4DD8">
        <w:rPr>
          <w:rFonts w:ascii="Times New Roman" w:hAnsi="Times New Roman"/>
          <w:sz w:val="24"/>
          <w:szCs w:val="24"/>
          <w:lang w:val="en-CA"/>
        </w:rPr>
        <w:t xml:space="preserve"> including </w:t>
      </w:r>
      <w:r>
        <w:rPr>
          <w:rFonts w:ascii="Times New Roman" w:hAnsi="Times New Roman"/>
          <w:sz w:val="24"/>
          <w:szCs w:val="24"/>
          <w:lang w:val="en-CA"/>
        </w:rPr>
        <w:t>visits to a</w:t>
      </w:r>
      <w:r w:rsidRPr="00FB4DD8">
        <w:rPr>
          <w:rFonts w:ascii="Times New Roman" w:hAnsi="Times New Roman"/>
          <w:sz w:val="24"/>
          <w:szCs w:val="24"/>
          <w:lang w:val="en-CA"/>
        </w:rPr>
        <w:t xml:space="preserve"> general practitioner</w:t>
      </w:r>
      <w:r>
        <w:rPr>
          <w:rFonts w:ascii="Times New Roman" w:hAnsi="Times New Roman"/>
          <w:sz w:val="24"/>
          <w:szCs w:val="24"/>
          <w:lang w:val="en-CA"/>
        </w:rPr>
        <w:t xml:space="preserve"> and </w:t>
      </w:r>
      <w:r w:rsidRPr="006F6A6F">
        <w:rPr>
          <w:rFonts w:ascii="Times New Roman" w:hAnsi="Times New Roman"/>
          <w:sz w:val="24"/>
          <w:szCs w:val="24"/>
          <w:lang w:val="en-CA"/>
        </w:rPr>
        <w:t>having prescriptions</w:t>
      </w:r>
      <w:r w:rsidR="004E2E1F">
        <w:rPr>
          <w:rFonts w:ascii="Times New Roman" w:hAnsi="Times New Roman"/>
          <w:sz w:val="24"/>
          <w:szCs w:val="24"/>
          <w:lang w:val="en-CA"/>
        </w:rPr>
        <w:t xml:space="preserve"> delivered</w:t>
      </w:r>
      <w:r w:rsidRPr="004E2E1F">
        <w:rPr>
          <w:rFonts w:ascii="Times New Roman" w:hAnsi="Times New Roman"/>
          <w:sz w:val="24"/>
          <w:szCs w:val="24"/>
          <w:lang w:val="en-CA"/>
        </w:rPr>
        <w:t xml:space="preserve">. Nation states supporting this economically will therefore have to pay the same amount </w:t>
      </w:r>
      <w:r w:rsidR="008C1342">
        <w:rPr>
          <w:rFonts w:ascii="Times New Roman" w:hAnsi="Times New Roman"/>
          <w:sz w:val="24"/>
          <w:szCs w:val="24"/>
          <w:lang w:val="en-CA"/>
        </w:rPr>
        <w:t xml:space="preserve">to a citizen </w:t>
      </w:r>
      <w:r w:rsidRPr="004E2E1F">
        <w:rPr>
          <w:rFonts w:ascii="Times New Roman" w:hAnsi="Times New Roman"/>
          <w:sz w:val="24"/>
          <w:szCs w:val="24"/>
          <w:lang w:val="en-CA"/>
        </w:rPr>
        <w:t>even if the treatment takes place outside the home country. Individual</w:t>
      </w:r>
      <w:r w:rsidRPr="006F6A6F">
        <w:rPr>
          <w:rFonts w:ascii="Times New Roman" w:hAnsi="Times New Roman"/>
          <w:sz w:val="24"/>
          <w:szCs w:val="24"/>
          <w:lang w:val="en-CA"/>
        </w:rPr>
        <w:t>s also have the right to move to another country to search for a job and claim unemployment benefits in</w:t>
      </w:r>
      <w:r w:rsidRPr="004E2E1F">
        <w:rPr>
          <w:rFonts w:ascii="Times New Roman" w:hAnsi="Times New Roman"/>
          <w:sz w:val="24"/>
          <w:szCs w:val="24"/>
          <w:lang w:val="en-CA"/>
        </w:rPr>
        <w:t xml:space="preserve"> another country. </w:t>
      </w:r>
      <w:r w:rsidR="0001051A">
        <w:rPr>
          <w:rFonts w:ascii="Times New Roman" w:hAnsi="Times New Roman"/>
          <w:sz w:val="24"/>
          <w:szCs w:val="24"/>
          <w:lang w:val="en-CA"/>
        </w:rPr>
        <w:t xml:space="preserve"> So, the implication being that</w:t>
      </w:r>
      <w:r w:rsidR="002A0CDE">
        <w:rPr>
          <w:rFonts w:ascii="Times New Roman" w:hAnsi="Times New Roman"/>
          <w:sz w:val="24"/>
          <w:szCs w:val="24"/>
          <w:lang w:val="en-CA"/>
        </w:rPr>
        <w:t xml:space="preserve"> it is</w:t>
      </w:r>
      <w:r w:rsidR="0001051A">
        <w:rPr>
          <w:rFonts w:ascii="Times New Roman" w:hAnsi="Times New Roman"/>
          <w:sz w:val="24"/>
          <w:szCs w:val="24"/>
          <w:lang w:val="en-CA"/>
        </w:rPr>
        <w:t xml:space="preserve"> not only free movement of labour, but </w:t>
      </w:r>
      <w:r w:rsidR="006C0BEE">
        <w:rPr>
          <w:rFonts w:ascii="Times New Roman" w:hAnsi="Times New Roman"/>
          <w:sz w:val="24"/>
          <w:szCs w:val="24"/>
          <w:lang w:val="en-CA"/>
        </w:rPr>
        <w:t xml:space="preserve">also </w:t>
      </w:r>
      <w:r w:rsidR="0001051A">
        <w:rPr>
          <w:rFonts w:ascii="Times New Roman" w:hAnsi="Times New Roman"/>
          <w:sz w:val="24"/>
          <w:szCs w:val="24"/>
          <w:lang w:val="en-CA"/>
        </w:rPr>
        <w:t xml:space="preserve">free movement </w:t>
      </w:r>
      <w:r w:rsidR="006C0BEE">
        <w:rPr>
          <w:rFonts w:ascii="Times New Roman" w:hAnsi="Times New Roman"/>
          <w:sz w:val="24"/>
          <w:szCs w:val="24"/>
          <w:lang w:val="en-CA"/>
        </w:rPr>
        <w:t>of goods and services</w:t>
      </w:r>
      <w:r w:rsidR="0001051A">
        <w:rPr>
          <w:rFonts w:ascii="Times New Roman" w:hAnsi="Times New Roman"/>
          <w:sz w:val="24"/>
          <w:szCs w:val="24"/>
          <w:lang w:val="en-CA"/>
        </w:rPr>
        <w:t xml:space="preserve"> that poses problems for welfare states and thus not only as discussed in Section 4 to </w:t>
      </w:r>
      <w:r w:rsidR="00790EC0">
        <w:rPr>
          <w:rFonts w:ascii="Times New Roman" w:hAnsi="Times New Roman"/>
          <w:sz w:val="24"/>
          <w:szCs w:val="24"/>
          <w:lang w:val="en-CA"/>
        </w:rPr>
        <w:t>welfare</w:t>
      </w:r>
      <w:r w:rsidR="002A0CDE">
        <w:rPr>
          <w:rFonts w:ascii="Times New Roman" w:hAnsi="Times New Roman"/>
          <w:sz w:val="24"/>
          <w:szCs w:val="24"/>
          <w:lang w:val="en-CA"/>
        </w:rPr>
        <w:t xml:space="preserve"> </w:t>
      </w:r>
      <w:r w:rsidR="0001051A">
        <w:rPr>
          <w:rFonts w:ascii="Times New Roman" w:hAnsi="Times New Roman"/>
          <w:sz w:val="24"/>
          <w:szCs w:val="24"/>
          <w:lang w:val="en-CA"/>
        </w:rPr>
        <w:t xml:space="preserve">benefits, but also in relation to </w:t>
      </w:r>
      <w:r w:rsidR="006C0BEE">
        <w:rPr>
          <w:rFonts w:ascii="Times New Roman" w:hAnsi="Times New Roman"/>
          <w:sz w:val="24"/>
          <w:szCs w:val="24"/>
          <w:lang w:val="en-CA"/>
        </w:rPr>
        <w:t xml:space="preserve">social </w:t>
      </w:r>
      <w:r w:rsidR="0001051A">
        <w:rPr>
          <w:rFonts w:ascii="Times New Roman" w:hAnsi="Times New Roman"/>
          <w:sz w:val="24"/>
          <w:szCs w:val="24"/>
          <w:lang w:val="en-CA"/>
        </w:rPr>
        <w:t>service.</w:t>
      </w:r>
      <w:r w:rsidR="002A0CDE">
        <w:rPr>
          <w:rFonts w:ascii="Times New Roman" w:hAnsi="Times New Roman"/>
          <w:sz w:val="24"/>
          <w:szCs w:val="24"/>
          <w:lang w:val="en-CA"/>
        </w:rPr>
        <w:t xml:space="preserve"> </w:t>
      </w:r>
      <w:r w:rsidRPr="00FB4DD8">
        <w:rPr>
          <w:rFonts w:ascii="Times New Roman" w:hAnsi="Times New Roman"/>
          <w:sz w:val="24"/>
          <w:szCs w:val="24"/>
          <w:lang w:val="en-CA"/>
        </w:rPr>
        <w:t>In principle,</w:t>
      </w:r>
      <w:r w:rsidR="006C0BEE">
        <w:rPr>
          <w:rFonts w:ascii="Times New Roman" w:hAnsi="Times New Roman"/>
          <w:sz w:val="24"/>
          <w:szCs w:val="24"/>
          <w:lang w:val="en-CA"/>
        </w:rPr>
        <w:t xml:space="preserve"> as argued in Section 2</w:t>
      </w:r>
      <w:r w:rsidR="005F5656">
        <w:rPr>
          <w:rFonts w:ascii="Times New Roman" w:hAnsi="Times New Roman"/>
          <w:sz w:val="24"/>
          <w:szCs w:val="24"/>
          <w:lang w:val="en-CA"/>
        </w:rPr>
        <w:t>,</w:t>
      </w:r>
      <w:r w:rsidRPr="00FB4DD8">
        <w:rPr>
          <w:rFonts w:ascii="Times New Roman" w:hAnsi="Times New Roman"/>
          <w:sz w:val="24"/>
          <w:szCs w:val="24"/>
          <w:lang w:val="en-CA"/>
        </w:rPr>
        <w:t xml:space="preserve"> the starting point </w:t>
      </w:r>
      <w:r>
        <w:rPr>
          <w:rFonts w:ascii="Times New Roman" w:hAnsi="Times New Roman"/>
          <w:sz w:val="24"/>
          <w:szCs w:val="24"/>
          <w:lang w:val="en-CA"/>
        </w:rPr>
        <w:t>is</w:t>
      </w:r>
      <w:r w:rsidRPr="00FB4DD8">
        <w:rPr>
          <w:rFonts w:ascii="Times New Roman" w:hAnsi="Times New Roman"/>
          <w:sz w:val="24"/>
          <w:szCs w:val="24"/>
          <w:lang w:val="en-CA"/>
        </w:rPr>
        <w:t xml:space="preserve"> that the EU in general only has a more limited role in welfare state </w:t>
      </w:r>
      <w:r w:rsidR="0001051A">
        <w:rPr>
          <w:rFonts w:ascii="Times New Roman" w:hAnsi="Times New Roman"/>
          <w:sz w:val="24"/>
          <w:szCs w:val="24"/>
          <w:lang w:val="en-CA"/>
        </w:rPr>
        <w:t>policies</w:t>
      </w:r>
      <w:r w:rsidR="005F5656">
        <w:rPr>
          <w:rFonts w:ascii="Times New Roman" w:hAnsi="Times New Roman"/>
          <w:sz w:val="24"/>
          <w:szCs w:val="24"/>
          <w:lang w:val="en-CA"/>
        </w:rPr>
        <w:t>.</w:t>
      </w:r>
      <w:r w:rsidRPr="00FB4DD8">
        <w:rPr>
          <w:rFonts w:ascii="Times New Roman" w:hAnsi="Times New Roman"/>
          <w:sz w:val="24"/>
          <w:szCs w:val="24"/>
          <w:lang w:val="en-CA"/>
        </w:rPr>
        <w:t xml:space="preserve"> </w:t>
      </w:r>
      <w:r w:rsidR="005F5656">
        <w:rPr>
          <w:rFonts w:ascii="Times New Roman" w:hAnsi="Times New Roman"/>
          <w:sz w:val="24"/>
          <w:szCs w:val="24"/>
          <w:lang w:val="en-CA"/>
        </w:rPr>
        <w:t>A</w:t>
      </w:r>
      <w:r w:rsidRPr="00FB4DD8">
        <w:rPr>
          <w:rFonts w:ascii="Times New Roman" w:hAnsi="Times New Roman"/>
          <w:sz w:val="24"/>
          <w:szCs w:val="24"/>
          <w:lang w:val="en-CA"/>
        </w:rPr>
        <w:t>t the same time</w:t>
      </w:r>
      <w:r>
        <w:rPr>
          <w:rFonts w:ascii="Times New Roman" w:hAnsi="Times New Roman"/>
          <w:sz w:val="24"/>
          <w:szCs w:val="24"/>
          <w:lang w:val="en-CA"/>
        </w:rPr>
        <w:t>,</w:t>
      </w:r>
      <w:r w:rsidRPr="00FB4DD8">
        <w:rPr>
          <w:rFonts w:ascii="Times New Roman" w:hAnsi="Times New Roman"/>
          <w:sz w:val="24"/>
          <w:szCs w:val="24"/>
          <w:lang w:val="en-CA"/>
        </w:rPr>
        <w:t xml:space="preserve"> the court has by referring to the free movement of goods and services changed the rule</w:t>
      </w:r>
      <w:r>
        <w:rPr>
          <w:rFonts w:ascii="Times New Roman" w:hAnsi="Times New Roman"/>
          <w:sz w:val="24"/>
          <w:szCs w:val="24"/>
          <w:lang w:val="en-CA"/>
        </w:rPr>
        <w:t>s</w:t>
      </w:r>
      <w:r w:rsidRPr="00FB4DD8">
        <w:rPr>
          <w:rFonts w:ascii="Times New Roman" w:hAnsi="Times New Roman"/>
          <w:sz w:val="24"/>
          <w:szCs w:val="24"/>
          <w:lang w:val="en-CA"/>
        </w:rPr>
        <w:t xml:space="preserve"> and the way the system is working</w:t>
      </w:r>
      <w:r>
        <w:rPr>
          <w:rFonts w:ascii="Times New Roman" w:hAnsi="Times New Roman"/>
          <w:sz w:val="24"/>
          <w:szCs w:val="24"/>
          <w:lang w:val="en-CA"/>
        </w:rPr>
        <w:t xml:space="preserve"> (</w:t>
      </w:r>
      <w:r w:rsidRPr="00FB4DD8">
        <w:rPr>
          <w:rFonts w:ascii="Times New Roman" w:hAnsi="Times New Roman"/>
          <w:sz w:val="24"/>
          <w:szCs w:val="24"/>
          <w:lang w:val="en-CA"/>
        </w:rPr>
        <w:t>cf</w:t>
      </w:r>
      <w:r>
        <w:rPr>
          <w:rFonts w:ascii="Times New Roman" w:hAnsi="Times New Roman"/>
          <w:sz w:val="24"/>
          <w:szCs w:val="24"/>
          <w:lang w:val="en-CA"/>
        </w:rPr>
        <w:t>.</w:t>
      </w:r>
      <w:r w:rsidRPr="00FB4DD8">
        <w:rPr>
          <w:rFonts w:ascii="Times New Roman" w:hAnsi="Times New Roman"/>
          <w:sz w:val="24"/>
          <w:szCs w:val="24"/>
          <w:lang w:val="en-CA"/>
        </w:rPr>
        <w:t xml:space="preserve"> </w:t>
      </w:r>
      <w:r>
        <w:rPr>
          <w:rFonts w:ascii="Times New Roman" w:hAnsi="Times New Roman"/>
          <w:sz w:val="24"/>
          <w:szCs w:val="24"/>
          <w:lang w:val="en-CA"/>
        </w:rPr>
        <w:t>e.g.</w:t>
      </w:r>
      <w:r w:rsidRPr="00FB4DD8">
        <w:rPr>
          <w:rFonts w:ascii="Times New Roman" w:hAnsi="Times New Roman"/>
          <w:sz w:val="24"/>
          <w:szCs w:val="24"/>
          <w:lang w:val="en-CA"/>
        </w:rPr>
        <w:t xml:space="preserve"> the three cases regarding Kohll, Decker and Peerbooms</w:t>
      </w:r>
      <w:r>
        <w:rPr>
          <w:rFonts w:ascii="Times New Roman" w:hAnsi="Times New Roman"/>
          <w:sz w:val="24"/>
          <w:szCs w:val="24"/>
          <w:lang w:val="en-CA"/>
        </w:rPr>
        <w:t>)</w:t>
      </w:r>
      <w:r w:rsidRPr="00FB4DD8">
        <w:rPr>
          <w:rFonts w:ascii="Times New Roman" w:hAnsi="Times New Roman"/>
          <w:sz w:val="24"/>
          <w:szCs w:val="24"/>
          <w:lang w:val="en-CA"/>
        </w:rPr>
        <w:t xml:space="preserve">. Another </w:t>
      </w:r>
      <w:r w:rsidRPr="006F6A6F">
        <w:rPr>
          <w:rFonts w:ascii="Times New Roman" w:hAnsi="Times New Roman"/>
          <w:sz w:val="24"/>
          <w:szCs w:val="24"/>
          <w:lang w:val="en-CA"/>
        </w:rPr>
        <w:t>example</w:t>
      </w:r>
      <w:r w:rsidRPr="00FB4DD8">
        <w:rPr>
          <w:rFonts w:ascii="Times New Roman" w:hAnsi="Times New Roman"/>
          <w:sz w:val="24"/>
          <w:szCs w:val="24"/>
          <w:lang w:val="en-CA"/>
        </w:rPr>
        <w:t xml:space="preserve"> </w:t>
      </w:r>
      <w:r>
        <w:rPr>
          <w:rFonts w:ascii="Times New Roman" w:hAnsi="Times New Roman"/>
          <w:sz w:val="24"/>
          <w:szCs w:val="24"/>
          <w:lang w:val="en-CA"/>
        </w:rPr>
        <w:t>was</w:t>
      </w:r>
      <w:r w:rsidRPr="00FB4DD8">
        <w:rPr>
          <w:rFonts w:ascii="Times New Roman" w:hAnsi="Times New Roman"/>
          <w:sz w:val="24"/>
          <w:szCs w:val="24"/>
          <w:lang w:val="en-CA"/>
        </w:rPr>
        <w:t xml:space="preserve"> the Watt case from 2006 (Martinsen and Vrangbæk, 2008), where the court came to the conclusion that Mrs. Watt could get the cost of a hip-operation reimbursed</w:t>
      </w:r>
      <w:r>
        <w:rPr>
          <w:rFonts w:ascii="Times New Roman" w:hAnsi="Times New Roman"/>
          <w:sz w:val="24"/>
          <w:szCs w:val="24"/>
          <w:lang w:val="en-CA"/>
        </w:rPr>
        <w:t>,</w:t>
      </w:r>
      <w:r w:rsidRPr="00FB4DD8">
        <w:rPr>
          <w:rFonts w:ascii="Times New Roman" w:hAnsi="Times New Roman"/>
          <w:sz w:val="24"/>
          <w:szCs w:val="24"/>
          <w:lang w:val="en-CA"/>
        </w:rPr>
        <w:t xml:space="preserve"> despite </w:t>
      </w:r>
      <w:r>
        <w:rPr>
          <w:rFonts w:ascii="Times New Roman" w:hAnsi="Times New Roman"/>
          <w:sz w:val="24"/>
          <w:szCs w:val="24"/>
          <w:lang w:val="en-CA"/>
        </w:rPr>
        <w:t xml:space="preserve">the fact that </w:t>
      </w:r>
      <w:r w:rsidRPr="00FB4DD8">
        <w:rPr>
          <w:rFonts w:ascii="Times New Roman" w:hAnsi="Times New Roman"/>
          <w:sz w:val="24"/>
          <w:szCs w:val="24"/>
          <w:lang w:val="en-CA"/>
        </w:rPr>
        <w:t xml:space="preserve">it took place outside the physical borders of the UK. The court also argued that medical services are within the scope </w:t>
      </w:r>
      <w:r w:rsidRPr="006F6A6F">
        <w:rPr>
          <w:rFonts w:ascii="Times New Roman" w:hAnsi="Times New Roman"/>
          <w:sz w:val="24"/>
          <w:szCs w:val="24"/>
          <w:lang w:val="en-CA"/>
        </w:rPr>
        <w:t>of</w:t>
      </w:r>
      <w:r w:rsidRPr="00FB4DD8">
        <w:rPr>
          <w:rFonts w:ascii="Times New Roman" w:hAnsi="Times New Roman"/>
          <w:sz w:val="24"/>
          <w:szCs w:val="24"/>
          <w:lang w:val="en-CA"/>
        </w:rPr>
        <w:t xml:space="preserve"> freedom with regard </w:t>
      </w:r>
      <w:r w:rsidRPr="00FB4DD8">
        <w:rPr>
          <w:rFonts w:ascii="Times New Roman" w:hAnsi="Times New Roman"/>
          <w:sz w:val="24"/>
          <w:szCs w:val="24"/>
          <w:lang w:val="en-CA"/>
        </w:rPr>
        <w:lastRenderedPageBreak/>
        <w:t xml:space="preserve">to the provision of service. </w:t>
      </w:r>
      <w:r w:rsidR="002A0CDE">
        <w:rPr>
          <w:rFonts w:ascii="Times New Roman" w:hAnsi="Times New Roman"/>
          <w:sz w:val="24"/>
          <w:szCs w:val="24"/>
          <w:lang w:val="en-CA"/>
        </w:rPr>
        <w:t>T</w:t>
      </w:r>
      <w:r w:rsidRPr="00FB4DD8">
        <w:rPr>
          <w:rFonts w:ascii="Times New Roman" w:hAnsi="Times New Roman"/>
          <w:sz w:val="24"/>
          <w:szCs w:val="24"/>
          <w:lang w:val="en-CA"/>
        </w:rPr>
        <w:t>he Decker and Kohl cases</w:t>
      </w:r>
      <w:r w:rsidR="002A0CDE">
        <w:rPr>
          <w:rFonts w:ascii="Times New Roman" w:hAnsi="Times New Roman"/>
          <w:sz w:val="24"/>
          <w:szCs w:val="24"/>
          <w:lang w:val="en-CA"/>
        </w:rPr>
        <w:t xml:space="preserve"> change</w:t>
      </w:r>
      <w:r w:rsidR="00976692">
        <w:rPr>
          <w:rFonts w:ascii="Times New Roman" w:hAnsi="Times New Roman"/>
          <w:sz w:val="24"/>
          <w:szCs w:val="24"/>
          <w:lang w:val="en-CA"/>
        </w:rPr>
        <w:t>d</w:t>
      </w:r>
      <w:r w:rsidRPr="00FB4DD8">
        <w:rPr>
          <w:rFonts w:ascii="Times New Roman" w:hAnsi="Times New Roman"/>
          <w:sz w:val="24"/>
          <w:szCs w:val="24"/>
          <w:lang w:val="en-CA"/>
        </w:rPr>
        <w:t xml:space="preserve"> the Danish perception</w:t>
      </w:r>
      <w:r w:rsidR="005F5656">
        <w:rPr>
          <w:rFonts w:ascii="Times New Roman" w:hAnsi="Times New Roman"/>
          <w:sz w:val="24"/>
          <w:szCs w:val="24"/>
          <w:lang w:val="en-CA"/>
        </w:rPr>
        <w:t xml:space="preserve"> from that it was clearly a national issue to</w:t>
      </w:r>
      <w:r w:rsidRPr="00FB4DD8">
        <w:rPr>
          <w:rFonts w:ascii="Times New Roman" w:hAnsi="Times New Roman"/>
          <w:sz w:val="24"/>
          <w:szCs w:val="24"/>
          <w:lang w:val="en-CA"/>
        </w:rPr>
        <w:t xml:space="preserve"> that health care </w:t>
      </w:r>
      <w:r>
        <w:rPr>
          <w:rFonts w:ascii="Times New Roman" w:hAnsi="Times New Roman"/>
          <w:sz w:val="24"/>
          <w:szCs w:val="24"/>
          <w:lang w:val="en-CA"/>
        </w:rPr>
        <w:t>was</w:t>
      </w:r>
      <w:r w:rsidRPr="00FB4DD8">
        <w:rPr>
          <w:rFonts w:ascii="Times New Roman" w:hAnsi="Times New Roman"/>
          <w:sz w:val="24"/>
          <w:szCs w:val="24"/>
          <w:lang w:val="en-CA"/>
        </w:rPr>
        <w:t xml:space="preserve"> not clearly outside the scope of the internal market. This lead to a change in </w:t>
      </w:r>
      <w:r>
        <w:rPr>
          <w:rFonts w:ascii="Times New Roman" w:hAnsi="Times New Roman"/>
          <w:sz w:val="24"/>
          <w:szCs w:val="24"/>
          <w:lang w:val="en-CA"/>
        </w:rPr>
        <w:t xml:space="preserve">the </w:t>
      </w:r>
      <w:r w:rsidRPr="00FB4DD8">
        <w:rPr>
          <w:rFonts w:ascii="Times New Roman" w:hAnsi="Times New Roman"/>
          <w:sz w:val="24"/>
          <w:szCs w:val="24"/>
          <w:lang w:val="en-CA"/>
        </w:rPr>
        <w:t xml:space="preserve">Danish legislation allowing for </w:t>
      </w:r>
      <w:r>
        <w:rPr>
          <w:rFonts w:ascii="Times New Roman" w:hAnsi="Times New Roman"/>
          <w:sz w:val="24"/>
          <w:szCs w:val="24"/>
          <w:lang w:val="en-CA"/>
        </w:rPr>
        <w:t>the purchase of</w:t>
      </w:r>
      <w:r w:rsidRPr="00FB4DD8">
        <w:rPr>
          <w:rFonts w:ascii="Times New Roman" w:hAnsi="Times New Roman"/>
          <w:sz w:val="24"/>
          <w:szCs w:val="24"/>
          <w:lang w:val="en-CA"/>
        </w:rPr>
        <w:t xml:space="preserve"> specialist service</w:t>
      </w:r>
      <w:r>
        <w:rPr>
          <w:rFonts w:ascii="Times New Roman" w:hAnsi="Times New Roman"/>
          <w:sz w:val="24"/>
          <w:szCs w:val="24"/>
          <w:lang w:val="en-CA"/>
        </w:rPr>
        <w:t xml:space="preserve">s (e.g. </w:t>
      </w:r>
      <w:r w:rsidRPr="00FB4DD8">
        <w:rPr>
          <w:rFonts w:ascii="Times New Roman" w:hAnsi="Times New Roman"/>
          <w:sz w:val="24"/>
          <w:szCs w:val="24"/>
          <w:lang w:val="en-CA"/>
        </w:rPr>
        <w:t>dental assistance</w:t>
      </w:r>
      <w:r>
        <w:rPr>
          <w:rFonts w:ascii="Times New Roman" w:hAnsi="Times New Roman"/>
          <w:sz w:val="24"/>
          <w:szCs w:val="24"/>
          <w:lang w:val="en-CA"/>
        </w:rPr>
        <w:t>)</w:t>
      </w:r>
      <w:r w:rsidRPr="00FB4DD8">
        <w:rPr>
          <w:rFonts w:ascii="Times New Roman" w:hAnsi="Times New Roman"/>
          <w:sz w:val="24"/>
          <w:szCs w:val="24"/>
          <w:lang w:val="en-CA"/>
        </w:rPr>
        <w:t xml:space="preserve"> abroad and then be</w:t>
      </w:r>
      <w:r>
        <w:rPr>
          <w:rFonts w:ascii="Times New Roman" w:hAnsi="Times New Roman"/>
          <w:sz w:val="24"/>
          <w:szCs w:val="24"/>
          <w:lang w:val="en-CA"/>
        </w:rPr>
        <w:t>ing</w:t>
      </w:r>
      <w:r w:rsidRPr="00FB4DD8">
        <w:rPr>
          <w:rFonts w:ascii="Times New Roman" w:hAnsi="Times New Roman"/>
          <w:sz w:val="24"/>
          <w:szCs w:val="24"/>
          <w:lang w:val="en-CA"/>
        </w:rPr>
        <w:t xml:space="preserve"> reimbursed with a fixed amount of money equal to what </w:t>
      </w:r>
      <w:r>
        <w:rPr>
          <w:rFonts w:ascii="Times New Roman" w:hAnsi="Times New Roman"/>
          <w:sz w:val="24"/>
          <w:szCs w:val="24"/>
          <w:lang w:val="en-CA"/>
        </w:rPr>
        <w:t xml:space="preserve">the </w:t>
      </w:r>
      <w:r w:rsidRPr="00FB4DD8">
        <w:rPr>
          <w:rFonts w:ascii="Times New Roman" w:hAnsi="Times New Roman"/>
          <w:sz w:val="24"/>
          <w:szCs w:val="24"/>
          <w:lang w:val="en-CA"/>
        </w:rPr>
        <w:t>Danish providers would get</w:t>
      </w:r>
      <w:r>
        <w:rPr>
          <w:rFonts w:ascii="Times New Roman" w:hAnsi="Times New Roman"/>
          <w:sz w:val="24"/>
          <w:szCs w:val="24"/>
          <w:lang w:val="en-CA"/>
        </w:rPr>
        <w:t xml:space="preserve">; there was </w:t>
      </w:r>
      <w:r w:rsidRPr="00FB4DD8">
        <w:rPr>
          <w:rFonts w:ascii="Times New Roman" w:hAnsi="Times New Roman"/>
          <w:sz w:val="24"/>
          <w:szCs w:val="24"/>
          <w:lang w:val="en-CA"/>
        </w:rPr>
        <w:t xml:space="preserve">also </w:t>
      </w:r>
      <w:r>
        <w:rPr>
          <w:rFonts w:ascii="Times New Roman" w:hAnsi="Times New Roman"/>
          <w:sz w:val="24"/>
          <w:szCs w:val="24"/>
          <w:lang w:val="en-CA"/>
        </w:rPr>
        <w:t>the</w:t>
      </w:r>
      <w:r w:rsidRPr="00FB4DD8">
        <w:rPr>
          <w:rFonts w:ascii="Times New Roman" w:hAnsi="Times New Roman"/>
          <w:sz w:val="24"/>
          <w:szCs w:val="24"/>
          <w:lang w:val="en-CA"/>
        </w:rPr>
        <w:t xml:space="preserve"> interpretation that “services as services normally carried out in return for remuneration” (Danish report – here quoted from Martinsen and Vrangbæk, 2008, p. 179). </w:t>
      </w:r>
    </w:p>
    <w:p w:rsidR="0001051A" w:rsidRDefault="002A0CDE" w:rsidP="00790EC0">
      <w:pPr>
        <w:spacing w:line="240" w:lineRule="auto"/>
        <w:jc w:val="both"/>
        <w:rPr>
          <w:rFonts w:ascii="Times New Roman" w:hAnsi="Times New Roman"/>
          <w:sz w:val="24"/>
          <w:szCs w:val="24"/>
          <w:lang w:val="en-CA"/>
        </w:rPr>
      </w:pPr>
      <w:r>
        <w:rPr>
          <w:rFonts w:ascii="Times New Roman" w:hAnsi="Times New Roman"/>
          <w:sz w:val="24"/>
          <w:szCs w:val="24"/>
          <w:lang w:val="en-CA"/>
        </w:rPr>
        <w:t>In this way</w:t>
      </w:r>
      <w:r w:rsidR="005F5656">
        <w:rPr>
          <w:rFonts w:ascii="Times New Roman" w:hAnsi="Times New Roman"/>
          <w:sz w:val="24"/>
          <w:szCs w:val="24"/>
          <w:lang w:val="en-CA"/>
        </w:rPr>
        <w:t xml:space="preserve"> part of the</w:t>
      </w:r>
      <w:r>
        <w:rPr>
          <w:rFonts w:ascii="Times New Roman" w:hAnsi="Times New Roman"/>
          <w:sz w:val="24"/>
          <w:szCs w:val="24"/>
          <w:lang w:val="en-CA"/>
        </w:rPr>
        <w:t xml:space="preserve"> welfare state</w:t>
      </w:r>
      <w:r w:rsidR="005F5656">
        <w:rPr>
          <w:rFonts w:ascii="Times New Roman" w:hAnsi="Times New Roman"/>
          <w:sz w:val="24"/>
          <w:szCs w:val="24"/>
          <w:lang w:val="en-CA"/>
        </w:rPr>
        <w:t>s social</w:t>
      </w:r>
      <w:r>
        <w:rPr>
          <w:rFonts w:ascii="Times New Roman" w:hAnsi="Times New Roman"/>
          <w:sz w:val="24"/>
          <w:szCs w:val="24"/>
          <w:lang w:val="en-CA"/>
        </w:rPr>
        <w:t xml:space="preserve"> services</w:t>
      </w:r>
      <w:r w:rsidR="00915A58" w:rsidRPr="00FB4DD8">
        <w:rPr>
          <w:rFonts w:ascii="Times New Roman" w:hAnsi="Times New Roman"/>
          <w:sz w:val="24"/>
          <w:szCs w:val="24"/>
          <w:lang w:val="en-CA"/>
        </w:rPr>
        <w:t xml:space="preserve"> </w:t>
      </w:r>
      <w:r w:rsidR="008C1342">
        <w:rPr>
          <w:rFonts w:ascii="Times New Roman" w:hAnsi="Times New Roman"/>
          <w:sz w:val="24"/>
          <w:szCs w:val="24"/>
          <w:lang w:val="en-CA"/>
        </w:rPr>
        <w:t xml:space="preserve">are </w:t>
      </w:r>
      <w:r w:rsidR="00915A58" w:rsidRPr="00FB4DD8">
        <w:rPr>
          <w:rFonts w:ascii="Times New Roman" w:hAnsi="Times New Roman"/>
          <w:sz w:val="24"/>
          <w:szCs w:val="24"/>
          <w:lang w:val="en-CA"/>
        </w:rPr>
        <w:t xml:space="preserve">open to international competition, </w:t>
      </w:r>
      <w:r w:rsidR="00915A58" w:rsidRPr="006F6A6F">
        <w:rPr>
          <w:rFonts w:ascii="Times New Roman" w:hAnsi="Times New Roman"/>
          <w:sz w:val="24"/>
          <w:szCs w:val="24"/>
          <w:lang w:val="en-CA"/>
        </w:rPr>
        <w:t xml:space="preserve">and by this also a </w:t>
      </w:r>
      <w:r w:rsidR="004E2E1F" w:rsidRPr="006F6A6F">
        <w:rPr>
          <w:rFonts w:ascii="Times New Roman" w:hAnsi="Times New Roman"/>
          <w:sz w:val="24"/>
          <w:szCs w:val="24"/>
          <w:lang w:val="en-CA"/>
        </w:rPr>
        <w:t>change</w:t>
      </w:r>
      <w:r w:rsidR="00915A58" w:rsidRPr="00FB4DD8">
        <w:rPr>
          <w:rFonts w:ascii="Times New Roman" w:hAnsi="Times New Roman"/>
          <w:sz w:val="24"/>
          <w:szCs w:val="24"/>
          <w:lang w:val="en-CA"/>
        </w:rPr>
        <w:t xml:space="preserve"> with regard to steering and governing in these areas</w:t>
      </w:r>
      <w:r w:rsidR="005F5656">
        <w:rPr>
          <w:rFonts w:ascii="Times New Roman" w:hAnsi="Times New Roman"/>
          <w:sz w:val="24"/>
          <w:szCs w:val="24"/>
          <w:lang w:val="en-CA"/>
        </w:rPr>
        <w:t>. This also includes</w:t>
      </w:r>
      <w:r w:rsidR="0001051A">
        <w:rPr>
          <w:rFonts w:ascii="Times New Roman" w:hAnsi="Times New Roman"/>
          <w:sz w:val="24"/>
          <w:szCs w:val="24"/>
          <w:lang w:val="en-CA"/>
        </w:rPr>
        <w:t xml:space="preserve"> whether they should be universally available or that more specific criteria is needed to reduce the risk that they are part of the rules concerning the free-movement</w:t>
      </w:r>
      <w:r w:rsidR="005F5656">
        <w:rPr>
          <w:rFonts w:ascii="Times New Roman" w:hAnsi="Times New Roman"/>
          <w:sz w:val="24"/>
          <w:szCs w:val="24"/>
          <w:lang w:val="en-CA"/>
        </w:rPr>
        <w:t xml:space="preserve"> or easy to be used by people who has not been participating in the financing of the universal welfare state.</w:t>
      </w:r>
      <w:r w:rsidR="00915A58" w:rsidRPr="00FB4DD8">
        <w:rPr>
          <w:rFonts w:ascii="Times New Roman" w:hAnsi="Times New Roman"/>
          <w:sz w:val="24"/>
          <w:szCs w:val="24"/>
          <w:lang w:val="en-CA"/>
        </w:rPr>
        <w:t xml:space="preserve"> </w:t>
      </w:r>
    </w:p>
    <w:p w:rsidR="00915A58" w:rsidRPr="00FB4DD8" w:rsidRDefault="00915A58" w:rsidP="00790EC0">
      <w:pPr>
        <w:spacing w:line="240" w:lineRule="auto"/>
        <w:jc w:val="both"/>
        <w:rPr>
          <w:rFonts w:ascii="Times New Roman" w:hAnsi="Times New Roman"/>
          <w:sz w:val="24"/>
          <w:szCs w:val="24"/>
          <w:lang w:val="en-CA"/>
        </w:rPr>
      </w:pPr>
      <w:r w:rsidRPr="00FB4DD8">
        <w:rPr>
          <w:rFonts w:ascii="Times New Roman" w:hAnsi="Times New Roman"/>
          <w:sz w:val="24"/>
          <w:szCs w:val="24"/>
          <w:lang w:val="en-CA"/>
        </w:rPr>
        <w:t>Th</w:t>
      </w:r>
      <w:r w:rsidR="00D713DC">
        <w:rPr>
          <w:rFonts w:ascii="Times New Roman" w:hAnsi="Times New Roman"/>
          <w:sz w:val="24"/>
          <w:szCs w:val="24"/>
          <w:lang w:val="en-CA"/>
        </w:rPr>
        <w:t>is</w:t>
      </w:r>
      <w:r w:rsidRPr="00FB4DD8">
        <w:rPr>
          <w:rFonts w:ascii="Times New Roman" w:hAnsi="Times New Roman"/>
          <w:sz w:val="24"/>
          <w:szCs w:val="24"/>
          <w:lang w:val="en-CA"/>
        </w:rPr>
        <w:t xml:space="preserve"> </w:t>
      </w:r>
      <w:r w:rsidR="009B7B09">
        <w:rPr>
          <w:rFonts w:ascii="Times New Roman" w:hAnsi="Times New Roman"/>
          <w:sz w:val="24"/>
          <w:szCs w:val="24"/>
          <w:lang w:val="en-CA"/>
        </w:rPr>
        <w:t>has</w:t>
      </w:r>
      <w:r w:rsidR="0001051A">
        <w:rPr>
          <w:rFonts w:ascii="Times New Roman" w:hAnsi="Times New Roman"/>
          <w:sz w:val="24"/>
          <w:szCs w:val="24"/>
          <w:lang w:val="en-CA"/>
        </w:rPr>
        <w:t xml:space="preserve"> been</w:t>
      </w:r>
      <w:r w:rsidR="009B7B09">
        <w:rPr>
          <w:rFonts w:ascii="Times New Roman" w:hAnsi="Times New Roman"/>
          <w:sz w:val="24"/>
          <w:szCs w:val="24"/>
          <w:lang w:val="en-CA"/>
        </w:rPr>
        <w:t xml:space="preserve"> even</w:t>
      </w:r>
      <w:r w:rsidR="0001051A">
        <w:rPr>
          <w:rFonts w:ascii="Times New Roman" w:hAnsi="Times New Roman"/>
          <w:sz w:val="24"/>
          <w:szCs w:val="24"/>
          <w:lang w:val="en-CA"/>
        </w:rPr>
        <w:t xml:space="preserve"> stronger presented by the </w:t>
      </w:r>
      <w:r w:rsidR="0001051A" w:rsidRPr="00FB4DD8">
        <w:rPr>
          <w:rFonts w:ascii="Times New Roman" w:hAnsi="Times New Roman"/>
          <w:sz w:val="24"/>
          <w:szCs w:val="24"/>
          <w:lang w:val="en-CA"/>
        </w:rPr>
        <w:t>argument</w:t>
      </w:r>
      <w:r w:rsidRPr="00FB4DD8">
        <w:rPr>
          <w:rFonts w:ascii="Times New Roman" w:hAnsi="Times New Roman"/>
          <w:sz w:val="24"/>
          <w:szCs w:val="24"/>
          <w:lang w:val="en-CA"/>
        </w:rPr>
        <w:t xml:space="preserve"> </w:t>
      </w:r>
      <w:r w:rsidR="0001051A">
        <w:rPr>
          <w:rFonts w:ascii="Times New Roman" w:hAnsi="Times New Roman"/>
          <w:sz w:val="24"/>
          <w:szCs w:val="24"/>
          <w:lang w:val="en-CA"/>
        </w:rPr>
        <w:t>over</w:t>
      </w:r>
      <w:r w:rsidR="00D713DC">
        <w:rPr>
          <w:rFonts w:ascii="Times New Roman" w:hAnsi="Times New Roman"/>
          <w:sz w:val="24"/>
          <w:szCs w:val="24"/>
          <w:lang w:val="en-CA"/>
        </w:rPr>
        <w:t xml:space="preserve"> </w:t>
      </w:r>
      <w:r w:rsidRPr="00FB4DD8">
        <w:rPr>
          <w:rFonts w:ascii="Times New Roman" w:hAnsi="Times New Roman"/>
          <w:sz w:val="24"/>
          <w:szCs w:val="24"/>
          <w:lang w:val="en-CA"/>
        </w:rPr>
        <w:t xml:space="preserve">the </w:t>
      </w:r>
      <w:r>
        <w:rPr>
          <w:rFonts w:ascii="Times New Roman" w:hAnsi="Times New Roman"/>
          <w:sz w:val="24"/>
          <w:szCs w:val="24"/>
          <w:lang w:val="en-CA"/>
        </w:rPr>
        <w:t>S</w:t>
      </w:r>
      <w:r w:rsidRPr="00FB4DD8">
        <w:rPr>
          <w:rFonts w:ascii="Times New Roman" w:hAnsi="Times New Roman"/>
          <w:sz w:val="24"/>
          <w:szCs w:val="24"/>
          <w:lang w:val="en-CA"/>
        </w:rPr>
        <w:t xml:space="preserve">ervice </w:t>
      </w:r>
      <w:r>
        <w:rPr>
          <w:rFonts w:ascii="Times New Roman" w:hAnsi="Times New Roman"/>
          <w:sz w:val="24"/>
          <w:szCs w:val="24"/>
          <w:lang w:val="en-CA"/>
        </w:rPr>
        <w:t>D</w:t>
      </w:r>
      <w:r w:rsidRPr="00FB4DD8">
        <w:rPr>
          <w:rFonts w:ascii="Times New Roman" w:hAnsi="Times New Roman"/>
          <w:sz w:val="24"/>
          <w:szCs w:val="24"/>
          <w:lang w:val="en-CA"/>
        </w:rPr>
        <w:t>irective (</w:t>
      </w:r>
      <w:r>
        <w:rPr>
          <w:rFonts w:ascii="Times New Roman" w:hAnsi="Times New Roman"/>
          <w:sz w:val="24"/>
          <w:szCs w:val="24"/>
          <w:lang w:val="en-CA"/>
        </w:rPr>
        <w:t xml:space="preserve">the </w:t>
      </w:r>
      <w:r w:rsidRPr="00FB4DD8">
        <w:rPr>
          <w:rFonts w:ascii="Times New Roman" w:hAnsi="Times New Roman"/>
          <w:sz w:val="24"/>
          <w:szCs w:val="24"/>
          <w:lang w:val="en-CA"/>
        </w:rPr>
        <w:t xml:space="preserve">Bolkenstein </w:t>
      </w:r>
      <w:r>
        <w:rPr>
          <w:rFonts w:ascii="Times New Roman" w:hAnsi="Times New Roman"/>
          <w:sz w:val="24"/>
          <w:szCs w:val="24"/>
          <w:lang w:val="en-CA"/>
        </w:rPr>
        <w:t>D</w:t>
      </w:r>
      <w:r w:rsidRPr="00FB4DD8">
        <w:rPr>
          <w:rFonts w:ascii="Times New Roman" w:hAnsi="Times New Roman"/>
          <w:sz w:val="24"/>
          <w:szCs w:val="24"/>
          <w:lang w:val="en-CA"/>
        </w:rPr>
        <w:t>irective)</w:t>
      </w:r>
      <w:r w:rsidR="005F5656">
        <w:rPr>
          <w:rFonts w:ascii="Times New Roman" w:hAnsi="Times New Roman"/>
          <w:sz w:val="24"/>
          <w:szCs w:val="24"/>
          <w:lang w:val="en-CA"/>
        </w:rPr>
        <w:t>. This is a further indication of</w:t>
      </w:r>
      <w:r w:rsidRPr="00FB4DD8">
        <w:rPr>
          <w:rFonts w:ascii="Times New Roman" w:hAnsi="Times New Roman"/>
          <w:sz w:val="24"/>
          <w:szCs w:val="24"/>
          <w:lang w:val="en-CA"/>
        </w:rPr>
        <w:t xml:space="preserve"> </w:t>
      </w:r>
      <w:r>
        <w:rPr>
          <w:rFonts w:ascii="Times New Roman" w:hAnsi="Times New Roman"/>
          <w:sz w:val="24"/>
          <w:szCs w:val="24"/>
          <w:lang w:val="en-CA"/>
        </w:rPr>
        <w:t>the</w:t>
      </w:r>
      <w:r w:rsidRPr="00FB4DD8">
        <w:rPr>
          <w:rFonts w:ascii="Times New Roman" w:hAnsi="Times New Roman"/>
          <w:sz w:val="24"/>
          <w:szCs w:val="24"/>
          <w:lang w:val="en-CA"/>
        </w:rPr>
        <w:t xml:space="preserve"> possibility of a movement away from and difficulties for </w:t>
      </w:r>
      <w:r>
        <w:rPr>
          <w:rFonts w:ascii="Times New Roman" w:hAnsi="Times New Roman"/>
          <w:sz w:val="24"/>
          <w:szCs w:val="24"/>
          <w:lang w:val="en-CA"/>
        </w:rPr>
        <w:t xml:space="preserve">the </w:t>
      </w:r>
      <w:r w:rsidRPr="00FB4DD8">
        <w:rPr>
          <w:rFonts w:ascii="Times New Roman" w:hAnsi="Times New Roman"/>
          <w:sz w:val="24"/>
          <w:szCs w:val="24"/>
          <w:lang w:val="en-CA"/>
        </w:rPr>
        <w:t xml:space="preserve">universal welfare states to provide specific </w:t>
      </w:r>
      <w:r w:rsidR="005F5656">
        <w:rPr>
          <w:rFonts w:ascii="Times New Roman" w:hAnsi="Times New Roman"/>
          <w:sz w:val="24"/>
          <w:szCs w:val="24"/>
          <w:lang w:val="en-CA"/>
        </w:rPr>
        <w:t xml:space="preserve">social </w:t>
      </w:r>
      <w:r w:rsidRPr="00FB4DD8">
        <w:rPr>
          <w:rFonts w:ascii="Times New Roman" w:hAnsi="Times New Roman"/>
          <w:sz w:val="24"/>
          <w:szCs w:val="24"/>
          <w:lang w:val="en-CA"/>
        </w:rPr>
        <w:t xml:space="preserve">services. If a national welfare state cannot </w:t>
      </w:r>
      <w:r>
        <w:rPr>
          <w:rFonts w:ascii="Times New Roman" w:hAnsi="Times New Roman"/>
          <w:sz w:val="24"/>
          <w:szCs w:val="24"/>
          <w:lang w:val="en-CA"/>
        </w:rPr>
        <w:t xml:space="preserve">provide </w:t>
      </w:r>
      <w:r w:rsidRPr="00FB4DD8">
        <w:rPr>
          <w:rFonts w:ascii="Times New Roman" w:hAnsi="Times New Roman"/>
          <w:sz w:val="24"/>
          <w:szCs w:val="24"/>
          <w:lang w:val="en-CA"/>
        </w:rPr>
        <w:t>without too much delay (and this is not precise</w:t>
      </w:r>
      <w:r>
        <w:rPr>
          <w:rFonts w:ascii="Times New Roman" w:hAnsi="Times New Roman"/>
          <w:sz w:val="24"/>
          <w:szCs w:val="24"/>
          <w:lang w:val="en-CA"/>
        </w:rPr>
        <w:t>ly</w:t>
      </w:r>
      <w:r w:rsidRPr="00FB4DD8">
        <w:rPr>
          <w:rFonts w:ascii="Times New Roman" w:hAnsi="Times New Roman"/>
          <w:sz w:val="24"/>
          <w:szCs w:val="24"/>
          <w:lang w:val="en-CA"/>
        </w:rPr>
        <w:t xml:space="preserve"> defined) health care services</w:t>
      </w:r>
      <w:r>
        <w:rPr>
          <w:rFonts w:ascii="Times New Roman" w:hAnsi="Times New Roman"/>
          <w:sz w:val="24"/>
          <w:szCs w:val="24"/>
          <w:lang w:val="en-CA"/>
        </w:rPr>
        <w:t>,</w:t>
      </w:r>
      <w:r w:rsidRPr="00FB4DD8">
        <w:rPr>
          <w:rFonts w:ascii="Times New Roman" w:hAnsi="Times New Roman"/>
          <w:sz w:val="24"/>
          <w:szCs w:val="24"/>
          <w:lang w:val="en-CA"/>
        </w:rPr>
        <w:t xml:space="preserve"> then a citizen </w:t>
      </w:r>
      <w:r>
        <w:rPr>
          <w:rFonts w:ascii="Times New Roman" w:hAnsi="Times New Roman"/>
          <w:sz w:val="24"/>
          <w:szCs w:val="24"/>
          <w:lang w:val="en-CA"/>
        </w:rPr>
        <w:t>may have</w:t>
      </w:r>
      <w:r w:rsidRPr="00FB4DD8">
        <w:rPr>
          <w:rFonts w:ascii="Times New Roman" w:hAnsi="Times New Roman"/>
          <w:sz w:val="24"/>
          <w:szCs w:val="24"/>
          <w:lang w:val="en-CA"/>
        </w:rPr>
        <w:t xml:space="preserve"> the right to go to another country to </w:t>
      </w:r>
      <w:r>
        <w:rPr>
          <w:rFonts w:ascii="Times New Roman" w:hAnsi="Times New Roman"/>
          <w:sz w:val="24"/>
          <w:szCs w:val="24"/>
          <w:lang w:val="en-CA"/>
        </w:rPr>
        <w:t>obtain</w:t>
      </w:r>
      <w:r w:rsidRPr="00FB4DD8">
        <w:rPr>
          <w:rFonts w:ascii="Times New Roman" w:hAnsi="Times New Roman"/>
          <w:sz w:val="24"/>
          <w:szCs w:val="24"/>
          <w:lang w:val="en-CA"/>
        </w:rPr>
        <w:t xml:space="preserve"> the treatment.</w:t>
      </w:r>
      <w:r w:rsidR="005F5656">
        <w:rPr>
          <w:rFonts w:ascii="Times New Roman" w:hAnsi="Times New Roman"/>
          <w:sz w:val="24"/>
          <w:szCs w:val="24"/>
          <w:lang w:val="en-CA"/>
        </w:rPr>
        <w:t xml:space="preserve"> </w:t>
      </w:r>
    </w:p>
    <w:p w:rsidR="00915A58" w:rsidRPr="00FB4DD8" w:rsidRDefault="00915A58" w:rsidP="00790EC0">
      <w:pPr>
        <w:spacing w:line="240" w:lineRule="auto"/>
        <w:jc w:val="both"/>
        <w:rPr>
          <w:rFonts w:ascii="Times New Roman" w:hAnsi="Times New Roman"/>
          <w:sz w:val="24"/>
          <w:szCs w:val="24"/>
          <w:lang w:val="en-CA"/>
        </w:rPr>
      </w:pPr>
      <w:r w:rsidRPr="00FB4DD8">
        <w:rPr>
          <w:rFonts w:ascii="Times New Roman" w:hAnsi="Times New Roman"/>
          <w:sz w:val="24"/>
          <w:szCs w:val="24"/>
          <w:lang w:val="en-CA"/>
        </w:rPr>
        <w:t xml:space="preserve">The Directive on service in the internal market </w:t>
      </w:r>
      <w:r w:rsidR="002A0CDE">
        <w:rPr>
          <w:rFonts w:ascii="Times New Roman" w:hAnsi="Times New Roman"/>
          <w:sz w:val="24"/>
          <w:szCs w:val="24"/>
          <w:lang w:val="en-CA"/>
        </w:rPr>
        <w:t>is a clear</w:t>
      </w:r>
      <w:r w:rsidR="0001051A">
        <w:rPr>
          <w:rFonts w:ascii="Times New Roman" w:hAnsi="Times New Roman"/>
          <w:sz w:val="24"/>
          <w:szCs w:val="24"/>
          <w:lang w:val="en-CA"/>
        </w:rPr>
        <w:t xml:space="preserve"> indication of</w:t>
      </w:r>
      <w:r w:rsidR="00D713DC">
        <w:rPr>
          <w:rFonts w:ascii="Times New Roman" w:hAnsi="Times New Roman"/>
          <w:sz w:val="24"/>
          <w:szCs w:val="24"/>
          <w:lang w:val="en-CA"/>
        </w:rPr>
        <w:t xml:space="preserve"> </w:t>
      </w:r>
      <w:r w:rsidRPr="00FB4DD8">
        <w:rPr>
          <w:rFonts w:ascii="Times New Roman" w:hAnsi="Times New Roman"/>
          <w:sz w:val="24"/>
          <w:szCs w:val="24"/>
          <w:lang w:val="en-CA"/>
        </w:rPr>
        <w:t xml:space="preserve">the ongoing debate and struggle between state </w:t>
      </w:r>
      <w:r w:rsidRPr="004E2E1F">
        <w:rPr>
          <w:rFonts w:ascii="Times New Roman" w:hAnsi="Times New Roman"/>
          <w:sz w:val="24"/>
          <w:szCs w:val="24"/>
          <w:lang w:val="en-CA"/>
        </w:rPr>
        <w:t xml:space="preserve">and </w:t>
      </w:r>
      <w:r w:rsidRPr="006F6A6F">
        <w:rPr>
          <w:rFonts w:ascii="Times New Roman" w:hAnsi="Times New Roman"/>
          <w:sz w:val="24"/>
          <w:szCs w:val="24"/>
          <w:lang w:val="en-CA"/>
        </w:rPr>
        <w:t>marke</w:t>
      </w:r>
      <w:r w:rsidR="004E2E1F" w:rsidRPr="006F6A6F">
        <w:rPr>
          <w:rFonts w:ascii="Times New Roman" w:hAnsi="Times New Roman"/>
          <w:sz w:val="24"/>
          <w:szCs w:val="24"/>
          <w:lang w:val="en-CA"/>
        </w:rPr>
        <w:t>t</w:t>
      </w:r>
      <w:r w:rsidRPr="006F6A6F">
        <w:rPr>
          <w:rFonts w:ascii="Times New Roman" w:hAnsi="Times New Roman"/>
          <w:sz w:val="24"/>
          <w:szCs w:val="24"/>
          <w:lang w:val="en-CA"/>
        </w:rPr>
        <w:t xml:space="preserve"> led</w:t>
      </w:r>
      <w:r w:rsidRPr="00FB4DD8">
        <w:rPr>
          <w:rFonts w:ascii="Times New Roman" w:hAnsi="Times New Roman"/>
          <w:sz w:val="24"/>
          <w:szCs w:val="24"/>
          <w:lang w:val="en-CA"/>
        </w:rPr>
        <w:t xml:space="preserve"> development. The draft directive from 2004</w:t>
      </w:r>
      <w:r>
        <w:rPr>
          <w:rFonts w:ascii="Times New Roman" w:hAnsi="Times New Roman"/>
          <w:sz w:val="24"/>
          <w:szCs w:val="24"/>
          <w:lang w:val="en-CA"/>
        </w:rPr>
        <w:t xml:space="preserve"> was</w:t>
      </w:r>
      <w:r w:rsidRPr="00FB4DD8">
        <w:rPr>
          <w:rFonts w:ascii="Times New Roman" w:hAnsi="Times New Roman"/>
          <w:sz w:val="24"/>
          <w:szCs w:val="24"/>
          <w:lang w:val="en-CA"/>
        </w:rPr>
        <w:t xml:space="preserve"> “aimed to reduce national regulation of services, unless they were non-discriminatory, justified with respect to public interest and proportionate” (Grossman and Woll, 2011 p. 346). One debate </w:t>
      </w:r>
      <w:r w:rsidR="0001051A" w:rsidRPr="00FB4DD8">
        <w:rPr>
          <w:rFonts w:ascii="Times New Roman" w:hAnsi="Times New Roman"/>
          <w:sz w:val="24"/>
          <w:szCs w:val="24"/>
          <w:lang w:val="en-CA"/>
        </w:rPr>
        <w:t>circled</w:t>
      </w:r>
      <w:r w:rsidRPr="00FB4DD8">
        <w:rPr>
          <w:rFonts w:ascii="Times New Roman" w:hAnsi="Times New Roman"/>
          <w:sz w:val="24"/>
          <w:szCs w:val="24"/>
          <w:lang w:val="en-CA"/>
        </w:rPr>
        <w:t xml:space="preserve"> around </w:t>
      </w:r>
      <w:r>
        <w:rPr>
          <w:rFonts w:ascii="Times New Roman" w:hAnsi="Times New Roman"/>
          <w:sz w:val="24"/>
          <w:szCs w:val="24"/>
          <w:lang w:val="en-CA"/>
        </w:rPr>
        <w:t xml:space="preserve">the </w:t>
      </w:r>
      <w:r w:rsidRPr="00FB4DD8">
        <w:rPr>
          <w:rFonts w:ascii="Times New Roman" w:hAnsi="Times New Roman"/>
          <w:sz w:val="24"/>
          <w:szCs w:val="24"/>
          <w:lang w:val="en-CA"/>
        </w:rPr>
        <w:t xml:space="preserve">country of origin for setting up </w:t>
      </w:r>
      <w:r>
        <w:rPr>
          <w:rFonts w:ascii="Times New Roman" w:hAnsi="Times New Roman"/>
          <w:sz w:val="24"/>
          <w:szCs w:val="24"/>
          <w:lang w:val="en-CA"/>
        </w:rPr>
        <w:t xml:space="preserve">a </w:t>
      </w:r>
      <w:r w:rsidRPr="00FB4DD8">
        <w:rPr>
          <w:rFonts w:ascii="Times New Roman" w:hAnsi="Times New Roman"/>
          <w:sz w:val="24"/>
          <w:szCs w:val="24"/>
          <w:lang w:val="en-CA"/>
        </w:rPr>
        <w:t>business</w:t>
      </w:r>
      <w:r>
        <w:rPr>
          <w:rFonts w:ascii="Times New Roman" w:hAnsi="Times New Roman"/>
          <w:sz w:val="24"/>
          <w:szCs w:val="24"/>
          <w:lang w:val="en-CA"/>
        </w:rPr>
        <w:t xml:space="preserve"> in the sense that</w:t>
      </w:r>
      <w:r w:rsidRPr="00FB4DD8">
        <w:rPr>
          <w:rFonts w:ascii="Times New Roman" w:hAnsi="Times New Roman"/>
          <w:sz w:val="24"/>
          <w:szCs w:val="24"/>
          <w:lang w:val="en-CA"/>
        </w:rPr>
        <w:t xml:space="preserve"> those having residence in one country should only abide to the rule in that country. Another issue was related to </w:t>
      </w:r>
      <w:r>
        <w:rPr>
          <w:rFonts w:ascii="Times New Roman" w:hAnsi="Times New Roman"/>
          <w:sz w:val="24"/>
          <w:szCs w:val="24"/>
          <w:lang w:val="en-CA"/>
        </w:rPr>
        <w:t xml:space="preserve">the </w:t>
      </w:r>
      <w:r w:rsidRPr="00FB4DD8">
        <w:rPr>
          <w:rFonts w:ascii="Times New Roman" w:hAnsi="Times New Roman"/>
          <w:sz w:val="24"/>
          <w:szCs w:val="24"/>
          <w:lang w:val="en-CA"/>
        </w:rPr>
        <w:t xml:space="preserve">inclusion of public service in the suggestion for the directive, including services of general interest (Crespy, 2010). A third issue revolved around the position of posted workers, where the understanding in the posted worker directive from 1996 was that working conditions and pay should be in accordance with the rules in the country where </w:t>
      </w:r>
      <w:r>
        <w:rPr>
          <w:rFonts w:ascii="Times New Roman" w:hAnsi="Times New Roman"/>
          <w:sz w:val="24"/>
          <w:szCs w:val="24"/>
          <w:lang w:val="en-CA"/>
        </w:rPr>
        <w:t xml:space="preserve">the </w:t>
      </w:r>
      <w:r w:rsidRPr="00FB4DD8">
        <w:rPr>
          <w:rFonts w:ascii="Times New Roman" w:hAnsi="Times New Roman"/>
          <w:sz w:val="24"/>
          <w:szCs w:val="24"/>
          <w:lang w:val="en-CA"/>
        </w:rPr>
        <w:t>work was carried out</w:t>
      </w:r>
      <w:r>
        <w:rPr>
          <w:rFonts w:ascii="Times New Roman" w:hAnsi="Times New Roman"/>
          <w:sz w:val="24"/>
          <w:szCs w:val="24"/>
          <w:lang w:val="en-CA"/>
        </w:rPr>
        <w:t>;</w:t>
      </w:r>
      <w:r w:rsidRPr="00FB4DD8">
        <w:rPr>
          <w:rFonts w:ascii="Times New Roman" w:hAnsi="Times New Roman"/>
          <w:sz w:val="24"/>
          <w:szCs w:val="24"/>
          <w:lang w:val="en-CA"/>
        </w:rPr>
        <w:t xml:space="preserve"> the suggested directive was seen as “being </w:t>
      </w:r>
      <w:r w:rsidRPr="00FB4DD8">
        <w:rPr>
          <w:rFonts w:ascii="Times New Roman" w:hAnsi="Times New Roman"/>
          <w:i/>
          <w:sz w:val="24"/>
          <w:szCs w:val="24"/>
          <w:lang w:val="en-CA"/>
        </w:rPr>
        <w:t xml:space="preserve">de facto </w:t>
      </w:r>
      <w:r w:rsidRPr="00FB4DD8">
        <w:rPr>
          <w:rFonts w:ascii="Times New Roman" w:hAnsi="Times New Roman"/>
          <w:sz w:val="24"/>
          <w:szCs w:val="24"/>
          <w:lang w:val="en-CA"/>
        </w:rPr>
        <w:t xml:space="preserve">ruin of these provisions by making controls impossible” (Crespy and Gajewska, 2010 p. 1191). After changes reducing and amending these elements, </w:t>
      </w:r>
      <w:r w:rsidRPr="006F6A6F">
        <w:rPr>
          <w:rFonts w:ascii="Times New Roman" w:hAnsi="Times New Roman"/>
          <w:sz w:val="24"/>
          <w:szCs w:val="24"/>
          <w:lang w:val="en-CA"/>
        </w:rPr>
        <w:t>including explicit to exclude</w:t>
      </w:r>
      <w:r w:rsidRPr="00FB4DD8">
        <w:rPr>
          <w:rFonts w:ascii="Times New Roman" w:hAnsi="Times New Roman"/>
          <w:sz w:val="24"/>
          <w:szCs w:val="24"/>
          <w:lang w:val="en-CA"/>
        </w:rPr>
        <w:t xml:space="preserve"> services of general interest, the directive was adopted on 12 December 2006.</w:t>
      </w:r>
    </w:p>
    <w:p w:rsidR="006A3C27" w:rsidRDefault="002A0CDE" w:rsidP="00790EC0">
      <w:pPr>
        <w:spacing w:line="240" w:lineRule="auto"/>
        <w:jc w:val="both"/>
        <w:rPr>
          <w:rFonts w:ascii="Times New Roman" w:hAnsi="Times New Roman"/>
          <w:sz w:val="24"/>
          <w:szCs w:val="24"/>
          <w:lang w:val="en-CA"/>
        </w:rPr>
      </w:pPr>
      <w:r>
        <w:rPr>
          <w:rFonts w:ascii="Times New Roman" w:hAnsi="Times New Roman"/>
          <w:sz w:val="24"/>
          <w:szCs w:val="24"/>
          <w:lang w:val="en-CA"/>
        </w:rPr>
        <w:t>T</w:t>
      </w:r>
      <w:r w:rsidR="006A3C27">
        <w:rPr>
          <w:rFonts w:ascii="Times New Roman" w:hAnsi="Times New Roman"/>
          <w:sz w:val="24"/>
          <w:szCs w:val="24"/>
          <w:lang w:val="en-CA"/>
        </w:rPr>
        <w:t xml:space="preserve">he court </w:t>
      </w:r>
      <w:r>
        <w:rPr>
          <w:rFonts w:ascii="Times New Roman" w:hAnsi="Times New Roman"/>
          <w:sz w:val="24"/>
          <w:szCs w:val="24"/>
          <w:lang w:val="en-CA"/>
        </w:rPr>
        <w:t xml:space="preserve">still </w:t>
      </w:r>
      <w:r w:rsidR="006A3C27">
        <w:rPr>
          <w:rFonts w:ascii="Times New Roman" w:hAnsi="Times New Roman"/>
          <w:sz w:val="24"/>
          <w:szCs w:val="24"/>
          <w:lang w:val="en-CA"/>
        </w:rPr>
        <w:t xml:space="preserve">has a central role in these areas and they constantly seems to inflict upon the option for diversity in the structure and rules regarding not only </w:t>
      </w:r>
      <w:r w:rsidR="00790EC0">
        <w:rPr>
          <w:rFonts w:ascii="Times New Roman" w:hAnsi="Times New Roman"/>
          <w:sz w:val="24"/>
          <w:szCs w:val="24"/>
          <w:lang w:val="en-CA"/>
        </w:rPr>
        <w:t>welfare benefits</w:t>
      </w:r>
      <w:r w:rsidR="006A3C27">
        <w:rPr>
          <w:rFonts w:ascii="Times New Roman" w:hAnsi="Times New Roman"/>
          <w:sz w:val="24"/>
          <w:szCs w:val="24"/>
          <w:lang w:val="en-CA"/>
        </w:rPr>
        <w:t xml:space="preserve"> in general, but also the access to social services. This thereby questions the possibility for a continuation of the universal welfare states.</w:t>
      </w:r>
      <w:r w:rsidR="004C21B2">
        <w:rPr>
          <w:rFonts w:ascii="Times New Roman" w:hAnsi="Times New Roman"/>
          <w:sz w:val="24"/>
          <w:szCs w:val="24"/>
          <w:lang w:val="en-CA"/>
        </w:rPr>
        <w:t xml:space="preserve"> This despite, as argued by Penning</w:t>
      </w:r>
      <w:r w:rsidR="005F5656">
        <w:rPr>
          <w:rFonts w:ascii="Times New Roman" w:hAnsi="Times New Roman"/>
          <w:sz w:val="24"/>
          <w:szCs w:val="24"/>
          <w:lang w:val="en-CA"/>
        </w:rPr>
        <w:t>s</w:t>
      </w:r>
      <w:r w:rsidR="004C21B2">
        <w:rPr>
          <w:rFonts w:ascii="Times New Roman" w:hAnsi="Times New Roman"/>
          <w:sz w:val="24"/>
          <w:szCs w:val="24"/>
          <w:lang w:val="en-CA"/>
        </w:rPr>
        <w:t xml:space="preserve">, (2011) that if there is a risk of undermining the financial strengths of a social security system this can </w:t>
      </w:r>
      <w:r w:rsidR="00BA7532">
        <w:rPr>
          <w:rFonts w:ascii="Times New Roman" w:hAnsi="Times New Roman"/>
          <w:sz w:val="24"/>
          <w:szCs w:val="24"/>
          <w:lang w:val="en-CA"/>
        </w:rPr>
        <w:t>justify “a barrier to the principle of freedom to provide service” (Pennings, 2011 p. 435).</w:t>
      </w:r>
      <w:r w:rsidR="005F5656">
        <w:rPr>
          <w:rFonts w:ascii="Times New Roman" w:hAnsi="Times New Roman"/>
          <w:sz w:val="24"/>
          <w:szCs w:val="24"/>
          <w:lang w:val="en-CA"/>
        </w:rPr>
        <w:t xml:space="preserve"> How strong, this risk should be is a still more open question</w:t>
      </w:r>
      <w:r w:rsidR="00976692">
        <w:rPr>
          <w:rFonts w:ascii="Times New Roman" w:hAnsi="Times New Roman"/>
          <w:sz w:val="24"/>
          <w:szCs w:val="24"/>
          <w:lang w:val="en-CA"/>
        </w:rPr>
        <w:t>, and the possibility to create barriers seems weakened by the last court cases</w:t>
      </w:r>
      <w:r w:rsidR="005F5656">
        <w:rPr>
          <w:rFonts w:ascii="Times New Roman" w:hAnsi="Times New Roman"/>
          <w:sz w:val="24"/>
          <w:szCs w:val="24"/>
          <w:lang w:val="en-CA"/>
        </w:rPr>
        <w:t>.</w:t>
      </w:r>
    </w:p>
    <w:p w:rsidR="00915A58" w:rsidRPr="00FB4DD8" w:rsidRDefault="003873F1" w:rsidP="00790EC0">
      <w:pPr>
        <w:pStyle w:val="Overskrift3"/>
        <w:spacing w:line="240" w:lineRule="auto"/>
        <w:rPr>
          <w:lang w:val="en-CA"/>
        </w:rPr>
      </w:pPr>
      <w:r>
        <w:rPr>
          <w:lang w:val="en-CA"/>
        </w:rPr>
        <w:t>6</w:t>
      </w:r>
      <w:r w:rsidR="00915A58" w:rsidRPr="00FB4DD8">
        <w:rPr>
          <w:lang w:val="en-CA"/>
        </w:rPr>
        <w:t>. Conclusion</w:t>
      </w:r>
    </w:p>
    <w:p w:rsidR="00915A58" w:rsidRPr="00FB4DD8" w:rsidRDefault="00915A58" w:rsidP="00790EC0">
      <w:pPr>
        <w:spacing w:after="0" w:line="240" w:lineRule="auto"/>
        <w:jc w:val="both"/>
        <w:rPr>
          <w:rFonts w:ascii="Times New Roman" w:hAnsi="Times New Roman"/>
          <w:sz w:val="24"/>
          <w:szCs w:val="24"/>
          <w:lang w:val="en-CA"/>
        </w:rPr>
      </w:pPr>
    </w:p>
    <w:p w:rsidR="00915A58" w:rsidRPr="00FB4DD8" w:rsidRDefault="00915A58" w:rsidP="00790EC0">
      <w:pPr>
        <w:spacing w:line="240" w:lineRule="auto"/>
        <w:jc w:val="both"/>
        <w:rPr>
          <w:rFonts w:ascii="Times New Roman" w:hAnsi="Times New Roman"/>
          <w:sz w:val="24"/>
          <w:szCs w:val="24"/>
          <w:lang w:val="en-CA"/>
        </w:rPr>
      </w:pPr>
      <w:r w:rsidRPr="00FB4DD8">
        <w:rPr>
          <w:rFonts w:ascii="Times New Roman" w:hAnsi="Times New Roman"/>
          <w:sz w:val="24"/>
          <w:szCs w:val="24"/>
          <w:lang w:val="en-CA"/>
        </w:rPr>
        <w:t>There has been a movement towards a larger role for the EU in the core area of welfare state</w:t>
      </w:r>
      <w:r w:rsidR="006A3C27">
        <w:rPr>
          <w:rFonts w:ascii="Times New Roman" w:hAnsi="Times New Roman"/>
          <w:sz w:val="24"/>
          <w:szCs w:val="24"/>
          <w:lang w:val="en-CA"/>
        </w:rPr>
        <w:t>s</w:t>
      </w:r>
      <w:r w:rsidR="00790EC0">
        <w:rPr>
          <w:rFonts w:ascii="Times New Roman" w:hAnsi="Times New Roman"/>
          <w:sz w:val="24"/>
          <w:szCs w:val="24"/>
          <w:lang w:val="en-CA"/>
        </w:rPr>
        <w:t>, with regard to welfare benefits</w:t>
      </w:r>
      <w:r w:rsidR="006A3C27">
        <w:rPr>
          <w:rFonts w:ascii="Times New Roman" w:hAnsi="Times New Roman"/>
          <w:sz w:val="24"/>
          <w:szCs w:val="24"/>
          <w:lang w:val="en-CA"/>
        </w:rPr>
        <w:t xml:space="preserve"> as well as</w:t>
      </w:r>
      <w:r w:rsidRPr="00FB4DD8">
        <w:rPr>
          <w:rFonts w:ascii="Times New Roman" w:hAnsi="Times New Roman"/>
          <w:sz w:val="24"/>
          <w:szCs w:val="24"/>
          <w:lang w:val="en-CA"/>
        </w:rPr>
        <w:t xml:space="preserve"> services, although the way to a higher impact on welfare </w:t>
      </w:r>
      <w:r w:rsidR="005F5656">
        <w:rPr>
          <w:rFonts w:ascii="Times New Roman" w:hAnsi="Times New Roman"/>
          <w:sz w:val="24"/>
          <w:szCs w:val="24"/>
          <w:lang w:val="en-CA"/>
        </w:rPr>
        <w:t xml:space="preserve">state </w:t>
      </w:r>
      <w:r w:rsidRPr="00FB4DD8">
        <w:rPr>
          <w:rFonts w:ascii="Times New Roman" w:hAnsi="Times New Roman"/>
          <w:sz w:val="24"/>
          <w:szCs w:val="24"/>
          <w:lang w:val="en-CA"/>
        </w:rPr>
        <w:t xml:space="preserve">policies has been very </w:t>
      </w:r>
      <w:r>
        <w:rPr>
          <w:rFonts w:ascii="Times New Roman" w:hAnsi="Times New Roman"/>
          <w:sz w:val="24"/>
          <w:szCs w:val="24"/>
          <w:lang w:val="en-CA"/>
        </w:rPr>
        <w:t>diverse</w:t>
      </w:r>
      <w:r w:rsidR="00F770A9">
        <w:rPr>
          <w:rFonts w:ascii="Times New Roman" w:hAnsi="Times New Roman"/>
          <w:sz w:val="24"/>
          <w:szCs w:val="24"/>
          <w:lang w:val="en-CA"/>
        </w:rPr>
        <w:t xml:space="preserve"> and uneven over time</w:t>
      </w:r>
      <w:r w:rsidRPr="00FB4DD8">
        <w:rPr>
          <w:rFonts w:ascii="Times New Roman" w:hAnsi="Times New Roman"/>
          <w:sz w:val="24"/>
          <w:szCs w:val="24"/>
          <w:lang w:val="en-CA"/>
        </w:rPr>
        <w:t>. In some areas</w:t>
      </w:r>
      <w:r>
        <w:rPr>
          <w:rFonts w:ascii="Times New Roman" w:hAnsi="Times New Roman"/>
          <w:sz w:val="24"/>
          <w:szCs w:val="24"/>
          <w:lang w:val="en-CA"/>
        </w:rPr>
        <w:t>, this has been achieved</w:t>
      </w:r>
      <w:r w:rsidRPr="00FB4DD8">
        <w:rPr>
          <w:rFonts w:ascii="Times New Roman" w:hAnsi="Times New Roman"/>
          <w:sz w:val="24"/>
          <w:szCs w:val="24"/>
          <w:lang w:val="en-CA"/>
        </w:rPr>
        <w:t xml:space="preserve"> through court cases (</w:t>
      </w:r>
      <w:r>
        <w:rPr>
          <w:rFonts w:ascii="Times New Roman" w:hAnsi="Times New Roman"/>
          <w:sz w:val="24"/>
          <w:szCs w:val="24"/>
          <w:lang w:val="en-CA"/>
        </w:rPr>
        <w:t xml:space="preserve">e.g. </w:t>
      </w:r>
      <w:r w:rsidRPr="00FB4DD8">
        <w:rPr>
          <w:rFonts w:ascii="Times New Roman" w:hAnsi="Times New Roman"/>
          <w:sz w:val="24"/>
          <w:szCs w:val="24"/>
          <w:lang w:val="en-CA"/>
        </w:rPr>
        <w:t>Laval</w:t>
      </w:r>
      <w:r w:rsidR="00844F4F">
        <w:rPr>
          <w:rFonts w:ascii="Times New Roman" w:hAnsi="Times New Roman"/>
          <w:sz w:val="24"/>
          <w:szCs w:val="24"/>
          <w:lang w:val="en-CA"/>
        </w:rPr>
        <w:t>, SU, Giersch</w:t>
      </w:r>
      <w:r w:rsidRPr="00FB4DD8">
        <w:rPr>
          <w:rFonts w:ascii="Times New Roman" w:hAnsi="Times New Roman"/>
          <w:sz w:val="24"/>
          <w:szCs w:val="24"/>
          <w:lang w:val="en-CA"/>
        </w:rPr>
        <w:t>)</w:t>
      </w:r>
      <w:r>
        <w:rPr>
          <w:rFonts w:ascii="Times New Roman" w:hAnsi="Times New Roman"/>
          <w:sz w:val="24"/>
          <w:szCs w:val="24"/>
          <w:lang w:val="en-CA"/>
        </w:rPr>
        <w:t>;</w:t>
      </w:r>
      <w:r w:rsidRPr="00FB4DD8">
        <w:rPr>
          <w:rFonts w:ascii="Times New Roman" w:hAnsi="Times New Roman"/>
          <w:sz w:val="24"/>
          <w:szCs w:val="24"/>
          <w:lang w:val="en-CA"/>
        </w:rPr>
        <w:t xml:space="preserve"> in others through agenda</w:t>
      </w:r>
      <w:r>
        <w:rPr>
          <w:rFonts w:ascii="Times New Roman" w:hAnsi="Times New Roman"/>
          <w:sz w:val="24"/>
          <w:szCs w:val="24"/>
          <w:lang w:val="en-CA"/>
        </w:rPr>
        <w:t>-</w:t>
      </w:r>
      <w:r w:rsidRPr="00FB4DD8">
        <w:rPr>
          <w:rFonts w:ascii="Times New Roman" w:hAnsi="Times New Roman"/>
          <w:sz w:val="24"/>
          <w:szCs w:val="24"/>
          <w:lang w:val="en-CA"/>
        </w:rPr>
        <w:t xml:space="preserve">setting as part of </w:t>
      </w:r>
      <w:r>
        <w:rPr>
          <w:rFonts w:ascii="Times New Roman" w:hAnsi="Times New Roman"/>
          <w:sz w:val="24"/>
          <w:szCs w:val="24"/>
          <w:lang w:val="en-CA"/>
        </w:rPr>
        <w:t xml:space="preserve">the </w:t>
      </w:r>
      <w:r w:rsidRPr="00FB4DD8">
        <w:rPr>
          <w:rFonts w:ascii="Times New Roman" w:hAnsi="Times New Roman"/>
          <w:sz w:val="24"/>
          <w:szCs w:val="24"/>
          <w:lang w:val="en-CA"/>
        </w:rPr>
        <w:t>communication of viewpoints and the O</w:t>
      </w:r>
      <w:r w:rsidR="00790EC0">
        <w:rPr>
          <w:rFonts w:ascii="Times New Roman" w:hAnsi="Times New Roman"/>
          <w:sz w:val="24"/>
          <w:szCs w:val="24"/>
          <w:lang w:val="en-CA"/>
        </w:rPr>
        <w:t>MC</w:t>
      </w:r>
      <w:r>
        <w:rPr>
          <w:rFonts w:ascii="Times New Roman" w:hAnsi="Times New Roman"/>
          <w:sz w:val="24"/>
          <w:szCs w:val="24"/>
          <w:lang w:val="en-CA"/>
        </w:rPr>
        <w:t>;</w:t>
      </w:r>
      <w:r w:rsidRPr="00FB4DD8">
        <w:rPr>
          <w:rFonts w:ascii="Times New Roman" w:hAnsi="Times New Roman"/>
          <w:sz w:val="24"/>
          <w:szCs w:val="24"/>
          <w:lang w:val="en-CA"/>
        </w:rPr>
        <w:t xml:space="preserve"> </w:t>
      </w:r>
      <w:r>
        <w:rPr>
          <w:rFonts w:ascii="Times New Roman" w:hAnsi="Times New Roman"/>
          <w:sz w:val="24"/>
          <w:szCs w:val="24"/>
          <w:lang w:val="en-CA"/>
        </w:rPr>
        <w:t xml:space="preserve">still </w:t>
      </w:r>
      <w:r w:rsidR="005F5656">
        <w:rPr>
          <w:rFonts w:ascii="Times New Roman" w:hAnsi="Times New Roman"/>
          <w:sz w:val="24"/>
          <w:szCs w:val="24"/>
          <w:lang w:val="en-CA"/>
        </w:rPr>
        <w:t xml:space="preserve">in </w:t>
      </w:r>
      <w:r w:rsidRPr="00FB4DD8">
        <w:rPr>
          <w:rFonts w:ascii="Times New Roman" w:hAnsi="Times New Roman"/>
          <w:sz w:val="24"/>
          <w:szCs w:val="24"/>
          <w:lang w:val="en-CA"/>
        </w:rPr>
        <w:t>other</w:t>
      </w:r>
      <w:r>
        <w:rPr>
          <w:rFonts w:ascii="Times New Roman" w:hAnsi="Times New Roman"/>
          <w:sz w:val="24"/>
          <w:szCs w:val="24"/>
          <w:lang w:val="en-CA"/>
        </w:rPr>
        <w:t xml:space="preserve"> area</w:t>
      </w:r>
      <w:r w:rsidRPr="00FB4DD8">
        <w:rPr>
          <w:rFonts w:ascii="Times New Roman" w:hAnsi="Times New Roman"/>
          <w:sz w:val="24"/>
          <w:szCs w:val="24"/>
          <w:lang w:val="en-CA"/>
        </w:rPr>
        <w:t>s</w:t>
      </w:r>
      <w:r w:rsidR="005F5656">
        <w:rPr>
          <w:rFonts w:ascii="Times New Roman" w:hAnsi="Times New Roman"/>
          <w:sz w:val="24"/>
          <w:szCs w:val="24"/>
          <w:lang w:val="en-CA"/>
        </w:rPr>
        <w:t xml:space="preserve"> are</w:t>
      </w:r>
      <w:r w:rsidRPr="00FB4DD8">
        <w:rPr>
          <w:rFonts w:ascii="Times New Roman" w:hAnsi="Times New Roman"/>
          <w:sz w:val="24"/>
          <w:szCs w:val="24"/>
          <w:lang w:val="en-CA"/>
        </w:rPr>
        <w:t xml:space="preserve"> </w:t>
      </w:r>
      <w:r>
        <w:rPr>
          <w:rFonts w:ascii="Times New Roman" w:hAnsi="Times New Roman"/>
          <w:sz w:val="24"/>
          <w:szCs w:val="24"/>
          <w:lang w:val="en-CA"/>
        </w:rPr>
        <w:t>used</w:t>
      </w:r>
      <w:r w:rsidRPr="00FB4DD8">
        <w:rPr>
          <w:rFonts w:ascii="Times New Roman" w:hAnsi="Times New Roman"/>
          <w:sz w:val="24"/>
          <w:szCs w:val="24"/>
          <w:lang w:val="en-CA"/>
        </w:rPr>
        <w:t xml:space="preserve"> gradual </w:t>
      </w:r>
      <w:r w:rsidRPr="00FB4DD8">
        <w:rPr>
          <w:rFonts w:ascii="Times New Roman" w:hAnsi="Times New Roman"/>
          <w:sz w:val="24"/>
          <w:szCs w:val="24"/>
          <w:lang w:val="en-CA"/>
        </w:rPr>
        <w:lastRenderedPageBreak/>
        <w:t>economic integration</w:t>
      </w:r>
      <w:r>
        <w:rPr>
          <w:rFonts w:ascii="Times New Roman" w:hAnsi="Times New Roman"/>
          <w:sz w:val="24"/>
          <w:szCs w:val="24"/>
          <w:lang w:val="en-CA"/>
        </w:rPr>
        <w:t>,</w:t>
      </w:r>
      <w:r w:rsidRPr="00FB4DD8">
        <w:rPr>
          <w:rFonts w:ascii="Times New Roman" w:hAnsi="Times New Roman"/>
          <w:sz w:val="24"/>
          <w:szCs w:val="24"/>
          <w:lang w:val="en-CA"/>
        </w:rPr>
        <w:t xml:space="preserve"> implying a </w:t>
      </w:r>
      <w:r w:rsidR="00844F4F" w:rsidRPr="00FB4DD8">
        <w:rPr>
          <w:rFonts w:ascii="Times New Roman" w:hAnsi="Times New Roman"/>
          <w:sz w:val="24"/>
          <w:szCs w:val="24"/>
          <w:lang w:val="en-CA"/>
        </w:rPr>
        <w:t>progres</w:t>
      </w:r>
      <w:r w:rsidR="00844F4F">
        <w:rPr>
          <w:rFonts w:ascii="Times New Roman" w:hAnsi="Times New Roman"/>
          <w:sz w:val="24"/>
          <w:szCs w:val="24"/>
          <w:lang w:val="en-CA"/>
        </w:rPr>
        <w:t>sively</w:t>
      </w:r>
      <w:r>
        <w:rPr>
          <w:rFonts w:ascii="Times New Roman" w:hAnsi="Times New Roman"/>
          <w:sz w:val="24"/>
          <w:szCs w:val="24"/>
          <w:lang w:val="en-CA"/>
        </w:rPr>
        <w:t xml:space="preserve"> weaker</w:t>
      </w:r>
      <w:r w:rsidRPr="00FB4DD8">
        <w:rPr>
          <w:rFonts w:ascii="Times New Roman" w:hAnsi="Times New Roman"/>
          <w:sz w:val="24"/>
          <w:szCs w:val="24"/>
          <w:lang w:val="en-CA"/>
        </w:rPr>
        <w:t xml:space="preserve"> role for individual member states in the field of social policy. Finally, the use of directive</w:t>
      </w:r>
      <w:r>
        <w:rPr>
          <w:rFonts w:ascii="Times New Roman" w:hAnsi="Times New Roman"/>
          <w:sz w:val="24"/>
          <w:szCs w:val="24"/>
          <w:lang w:val="en-CA"/>
        </w:rPr>
        <w:t>s</w:t>
      </w:r>
      <w:r w:rsidRPr="00FB4DD8">
        <w:rPr>
          <w:rFonts w:ascii="Times New Roman" w:hAnsi="Times New Roman"/>
          <w:sz w:val="24"/>
          <w:szCs w:val="24"/>
          <w:lang w:val="en-CA"/>
        </w:rPr>
        <w:t xml:space="preserve"> has open</w:t>
      </w:r>
      <w:r>
        <w:rPr>
          <w:rFonts w:ascii="Times New Roman" w:hAnsi="Times New Roman"/>
          <w:sz w:val="24"/>
          <w:szCs w:val="24"/>
          <w:lang w:val="en-CA"/>
        </w:rPr>
        <w:t>ed</w:t>
      </w:r>
      <w:r w:rsidRPr="00FB4DD8">
        <w:rPr>
          <w:rFonts w:ascii="Times New Roman" w:hAnsi="Times New Roman"/>
          <w:sz w:val="24"/>
          <w:szCs w:val="24"/>
          <w:lang w:val="en-CA"/>
        </w:rPr>
        <w:t xml:space="preserve"> </w:t>
      </w:r>
      <w:r>
        <w:rPr>
          <w:rFonts w:ascii="Times New Roman" w:hAnsi="Times New Roman"/>
          <w:sz w:val="24"/>
          <w:szCs w:val="24"/>
          <w:lang w:val="en-CA"/>
        </w:rPr>
        <w:t>the</w:t>
      </w:r>
      <w:r w:rsidRPr="00FB4DD8">
        <w:rPr>
          <w:rFonts w:ascii="Times New Roman" w:hAnsi="Times New Roman"/>
          <w:sz w:val="24"/>
          <w:szCs w:val="24"/>
          <w:lang w:val="en-CA"/>
        </w:rPr>
        <w:t xml:space="preserve"> discussion</w:t>
      </w:r>
      <w:r>
        <w:rPr>
          <w:rFonts w:ascii="Times New Roman" w:hAnsi="Times New Roman"/>
          <w:sz w:val="24"/>
          <w:szCs w:val="24"/>
          <w:lang w:val="en-CA"/>
        </w:rPr>
        <w:t>,</w:t>
      </w:r>
      <w:r w:rsidRPr="00FB4DD8">
        <w:rPr>
          <w:rFonts w:ascii="Times New Roman" w:hAnsi="Times New Roman"/>
          <w:sz w:val="24"/>
          <w:szCs w:val="24"/>
          <w:lang w:val="en-CA"/>
        </w:rPr>
        <w:t xml:space="preserve"> as </w:t>
      </w:r>
      <w:r>
        <w:rPr>
          <w:rFonts w:ascii="Times New Roman" w:hAnsi="Times New Roman"/>
          <w:sz w:val="24"/>
          <w:szCs w:val="24"/>
          <w:lang w:val="en-CA"/>
        </w:rPr>
        <w:t xml:space="preserve">is </w:t>
      </w:r>
      <w:r w:rsidRPr="00FB4DD8">
        <w:rPr>
          <w:rFonts w:ascii="Times New Roman" w:hAnsi="Times New Roman"/>
          <w:sz w:val="24"/>
          <w:szCs w:val="24"/>
          <w:lang w:val="en-CA"/>
        </w:rPr>
        <w:t>seen in the case of the service directive</w:t>
      </w:r>
      <w:r>
        <w:rPr>
          <w:rFonts w:ascii="Times New Roman" w:hAnsi="Times New Roman"/>
          <w:sz w:val="24"/>
          <w:szCs w:val="24"/>
          <w:lang w:val="en-CA"/>
        </w:rPr>
        <w:t xml:space="preserve">, </w:t>
      </w:r>
      <w:r w:rsidRPr="00FB4DD8">
        <w:rPr>
          <w:rFonts w:ascii="Times New Roman" w:hAnsi="Times New Roman"/>
          <w:sz w:val="24"/>
          <w:szCs w:val="24"/>
          <w:lang w:val="en-CA"/>
        </w:rPr>
        <w:t xml:space="preserve">for example. Generally, the impact has been stronger where there have been directives </w:t>
      </w:r>
      <w:r w:rsidR="00BA7532">
        <w:rPr>
          <w:rFonts w:ascii="Times New Roman" w:hAnsi="Times New Roman"/>
          <w:sz w:val="24"/>
          <w:szCs w:val="24"/>
          <w:lang w:val="en-CA"/>
        </w:rPr>
        <w:t>and/</w:t>
      </w:r>
      <w:r w:rsidRPr="00FB4DD8">
        <w:rPr>
          <w:rFonts w:ascii="Times New Roman" w:hAnsi="Times New Roman"/>
          <w:sz w:val="24"/>
          <w:szCs w:val="24"/>
          <w:lang w:val="en-CA"/>
        </w:rPr>
        <w:t xml:space="preserve">or court decisions. </w:t>
      </w:r>
    </w:p>
    <w:p w:rsidR="00BA7532" w:rsidRDefault="00915A58" w:rsidP="00790EC0">
      <w:pPr>
        <w:spacing w:line="240" w:lineRule="auto"/>
        <w:jc w:val="both"/>
        <w:rPr>
          <w:rFonts w:ascii="Times New Roman" w:hAnsi="Times New Roman"/>
          <w:sz w:val="24"/>
          <w:szCs w:val="24"/>
          <w:lang w:val="en-CA"/>
        </w:rPr>
      </w:pPr>
      <w:r w:rsidRPr="00FB4DD8">
        <w:rPr>
          <w:rFonts w:ascii="Times New Roman" w:hAnsi="Times New Roman"/>
          <w:sz w:val="24"/>
          <w:szCs w:val="24"/>
          <w:lang w:val="en-CA"/>
        </w:rPr>
        <w:t>However, given the financial crisis pressures from convergence</w:t>
      </w:r>
      <w:r>
        <w:rPr>
          <w:rFonts w:ascii="Times New Roman" w:hAnsi="Times New Roman"/>
          <w:sz w:val="24"/>
          <w:szCs w:val="24"/>
          <w:lang w:val="en-CA"/>
        </w:rPr>
        <w:t xml:space="preserve"> </w:t>
      </w:r>
      <w:r w:rsidRPr="00FB4DD8">
        <w:rPr>
          <w:rFonts w:ascii="Times New Roman" w:hAnsi="Times New Roman"/>
          <w:sz w:val="24"/>
          <w:szCs w:val="24"/>
          <w:lang w:val="en-CA"/>
        </w:rPr>
        <w:t xml:space="preserve">and tendencies towards </w:t>
      </w:r>
      <w:r>
        <w:rPr>
          <w:rFonts w:ascii="Times New Roman" w:hAnsi="Times New Roman"/>
          <w:sz w:val="24"/>
          <w:szCs w:val="24"/>
          <w:lang w:val="en-CA"/>
        </w:rPr>
        <w:t>it</w:t>
      </w:r>
      <w:r w:rsidRPr="00FB4DD8">
        <w:rPr>
          <w:rFonts w:ascii="Times New Roman" w:hAnsi="Times New Roman"/>
          <w:sz w:val="24"/>
          <w:szCs w:val="24"/>
          <w:lang w:val="en-CA"/>
        </w:rPr>
        <w:t xml:space="preserve">, the role of the European Union can imply further development towards welfare state models moving in the same direction. </w:t>
      </w:r>
      <w:r w:rsidR="006A3C27">
        <w:rPr>
          <w:rFonts w:ascii="Times New Roman" w:hAnsi="Times New Roman"/>
          <w:sz w:val="24"/>
          <w:szCs w:val="24"/>
          <w:lang w:val="en-CA"/>
        </w:rPr>
        <w:t xml:space="preserve">Given the issues and problems related to having a universal approach in several areas without having </w:t>
      </w:r>
      <w:r w:rsidR="005F5656">
        <w:rPr>
          <w:rFonts w:ascii="Times New Roman" w:hAnsi="Times New Roman"/>
          <w:sz w:val="24"/>
          <w:szCs w:val="24"/>
          <w:lang w:val="en-CA"/>
        </w:rPr>
        <w:t xml:space="preserve">the option to set </w:t>
      </w:r>
      <w:r w:rsidR="006A3C27">
        <w:rPr>
          <w:rFonts w:ascii="Times New Roman" w:hAnsi="Times New Roman"/>
          <w:sz w:val="24"/>
          <w:szCs w:val="24"/>
          <w:lang w:val="en-CA"/>
        </w:rPr>
        <w:t xml:space="preserve">specific and detailed </w:t>
      </w:r>
      <w:r w:rsidR="005F5656">
        <w:rPr>
          <w:rFonts w:ascii="Times New Roman" w:hAnsi="Times New Roman"/>
          <w:sz w:val="24"/>
          <w:szCs w:val="24"/>
          <w:lang w:val="en-CA"/>
        </w:rPr>
        <w:t>arrays</w:t>
      </w:r>
      <w:r w:rsidR="006A3C27">
        <w:rPr>
          <w:rFonts w:ascii="Times New Roman" w:hAnsi="Times New Roman"/>
          <w:sz w:val="24"/>
          <w:szCs w:val="24"/>
          <w:lang w:val="en-CA"/>
        </w:rPr>
        <w:t xml:space="preserve"> of criteria, this opens for that the universal Nordic welfare states</w:t>
      </w:r>
      <w:r w:rsidR="00BA7532">
        <w:rPr>
          <w:rFonts w:ascii="Times New Roman" w:hAnsi="Times New Roman"/>
          <w:sz w:val="24"/>
          <w:szCs w:val="24"/>
          <w:lang w:val="en-CA"/>
        </w:rPr>
        <w:t>, in this specific analysis the Danish,</w:t>
      </w:r>
      <w:r w:rsidR="006A3C27">
        <w:rPr>
          <w:rFonts w:ascii="Times New Roman" w:hAnsi="Times New Roman"/>
          <w:sz w:val="24"/>
          <w:szCs w:val="24"/>
          <w:lang w:val="en-CA"/>
        </w:rPr>
        <w:t xml:space="preserve"> will have to be more restrictive and move in a more continental direction as a way of reducing the fiscal and legitimacy pressure on the welfare states.</w:t>
      </w:r>
      <w:r w:rsidR="00976692">
        <w:rPr>
          <w:rFonts w:ascii="Times New Roman" w:hAnsi="Times New Roman"/>
          <w:sz w:val="24"/>
          <w:szCs w:val="24"/>
          <w:lang w:val="en-CA"/>
        </w:rPr>
        <w:t xml:space="preserve"> This could also imply a reduction in the level of benefits to make them less generous and thereby less attractive for migrant wor</w:t>
      </w:r>
      <w:r w:rsidR="001F0378">
        <w:rPr>
          <w:rFonts w:ascii="Times New Roman" w:hAnsi="Times New Roman"/>
          <w:sz w:val="24"/>
          <w:szCs w:val="24"/>
          <w:lang w:val="en-CA"/>
        </w:rPr>
        <w:t>kers to enter Denmark, and, this opens for a risk of a movement towards the bottom.</w:t>
      </w:r>
    </w:p>
    <w:p w:rsidR="00915A58" w:rsidRPr="00FB4DD8" w:rsidRDefault="001F0378" w:rsidP="00790EC0">
      <w:pPr>
        <w:spacing w:line="240" w:lineRule="auto"/>
        <w:jc w:val="both"/>
        <w:rPr>
          <w:rFonts w:ascii="Times New Roman" w:hAnsi="Times New Roman"/>
          <w:sz w:val="24"/>
          <w:szCs w:val="24"/>
          <w:lang w:val="en-CA"/>
        </w:rPr>
      </w:pPr>
      <w:r>
        <w:rPr>
          <w:rFonts w:ascii="Times New Roman" w:hAnsi="Times New Roman"/>
          <w:sz w:val="24"/>
          <w:szCs w:val="24"/>
          <w:lang w:val="en-CA"/>
        </w:rPr>
        <w:t>T</w:t>
      </w:r>
      <w:r w:rsidR="00BA7532">
        <w:rPr>
          <w:rFonts w:ascii="Times New Roman" w:hAnsi="Times New Roman"/>
          <w:sz w:val="24"/>
          <w:szCs w:val="24"/>
          <w:lang w:val="en-CA"/>
        </w:rPr>
        <w:t xml:space="preserve">he universal elements might </w:t>
      </w:r>
      <w:r>
        <w:rPr>
          <w:rFonts w:ascii="Times New Roman" w:hAnsi="Times New Roman"/>
          <w:sz w:val="24"/>
          <w:szCs w:val="24"/>
          <w:lang w:val="en-CA"/>
        </w:rPr>
        <w:t xml:space="preserve">thereby </w:t>
      </w:r>
      <w:r w:rsidR="00BA7532">
        <w:rPr>
          <w:rFonts w:ascii="Times New Roman" w:hAnsi="Times New Roman"/>
          <w:sz w:val="24"/>
          <w:szCs w:val="24"/>
          <w:lang w:val="en-CA"/>
        </w:rPr>
        <w:t xml:space="preserve">wither away and instead </w:t>
      </w:r>
      <w:r w:rsidR="008C1342">
        <w:rPr>
          <w:rFonts w:ascii="Times New Roman" w:hAnsi="Times New Roman"/>
          <w:sz w:val="24"/>
          <w:szCs w:val="24"/>
          <w:lang w:val="en-CA"/>
        </w:rPr>
        <w:t xml:space="preserve">citizens </w:t>
      </w:r>
      <w:r w:rsidR="00BA7532">
        <w:rPr>
          <w:rFonts w:ascii="Times New Roman" w:hAnsi="Times New Roman"/>
          <w:sz w:val="24"/>
          <w:szCs w:val="24"/>
          <w:lang w:val="en-CA"/>
        </w:rPr>
        <w:t>having more rights derived from being on the labour market</w:t>
      </w:r>
      <w:r w:rsidR="00790EC0">
        <w:rPr>
          <w:rFonts w:ascii="Times New Roman" w:hAnsi="Times New Roman"/>
          <w:sz w:val="24"/>
          <w:szCs w:val="24"/>
          <w:lang w:val="en-CA"/>
        </w:rPr>
        <w:t xml:space="preserve"> and have paid to a social insurance fund</w:t>
      </w:r>
      <w:r w:rsidR="00BA7532">
        <w:rPr>
          <w:rFonts w:ascii="Times New Roman" w:hAnsi="Times New Roman"/>
          <w:sz w:val="24"/>
          <w:szCs w:val="24"/>
          <w:lang w:val="en-CA"/>
        </w:rPr>
        <w:t xml:space="preserve"> for a long-time or </w:t>
      </w:r>
      <w:r w:rsidR="008C1342">
        <w:rPr>
          <w:rFonts w:ascii="Times New Roman" w:hAnsi="Times New Roman"/>
          <w:sz w:val="24"/>
          <w:szCs w:val="24"/>
          <w:lang w:val="en-CA"/>
        </w:rPr>
        <w:t xml:space="preserve">they </w:t>
      </w:r>
      <w:r w:rsidR="00BA7532">
        <w:rPr>
          <w:rFonts w:ascii="Times New Roman" w:hAnsi="Times New Roman"/>
          <w:sz w:val="24"/>
          <w:szCs w:val="24"/>
          <w:lang w:val="en-CA"/>
        </w:rPr>
        <w:t>will to have to have stayed in Denmark for longer time in order to be eligible for benefits</w:t>
      </w:r>
      <w:r w:rsidR="005F5656">
        <w:rPr>
          <w:rFonts w:ascii="Times New Roman" w:hAnsi="Times New Roman"/>
          <w:sz w:val="24"/>
          <w:szCs w:val="24"/>
          <w:lang w:val="en-CA"/>
        </w:rPr>
        <w:t xml:space="preserve"> or the full-benefits</w:t>
      </w:r>
      <w:r w:rsidR="00844F4F">
        <w:rPr>
          <w:rFonts w:ascii="Times New Roman" w:hAnsi="Times New Roman"/>
          <w:sz w:val="24"/>
          <w:szCs w:val="24"/>
          <w:lang w:val="en-CA"/>
        </w:rPr>
        <w:t>, although this seems not in all areas to be accepted by the court</w:t>
      </w:r>
      <w:r>
        <w:rPr>
          <w:rFonts w:ascii="Times New Roman" w:hAnsi="Times New Roman"/>
          <w:sz w:val="24"/>
          <w:szCs w:val="24"/>
          <w:lang w:val="en-CA"/>
        </w:rPr>
        <w:t xml:space="preserve"> or only a more limited time-span</w:t>
      </w:r>
      <w:r w:rsidR="00BA7532">
        <w:rPr>
          <w:rFonts w:ascii="Times New Roman" w:hAnsi="Times New Roman"/>
          <w:sz w:val="24"/>
          <w:szCs w:val="24"/>
          <w:lang w:val="en-CA"/>
        </w:rPr>
        <w:t>.</w:t>
      </w:r>
      <w:r w:rsidR="008C1342">
        <w:rPr>
          <w:rFonts w:ascii="Times New Roman" w:hAnsi="Times New Roman"/>
          <w:sz w:val="24"/>
          <w:szCs w:val="24"/>
          <w:lang w:val="en-CA"/>
        </w:rPr>
        <w:t xml:space="preserve"> This pressure might thereby also reduce the distinctiveness of the Danish and other Nordic welfare state models moving them more t</w:t>
      </w:r>
      <w:r w:rsidR="00790EC0">
        <w:rPr>
          <w:rFonts w:ascii="Times New Roman" w:hAnsi="Times New Roman"/>
          <w:sz w:val="24"/>
          <w:szCs w:val="24"/>
          <w:lang w:val="en-CA"/>
        </w:rPr>
        <w:t xml:space="preserve">owards a European welfare model and the elements of universality weakened. </w:t>
      </w:r>
      <w:r w:rsidR="00915A58" w:rsidRPr="00FB4DD8">
        <w:rPr>
          <w:rFonts w:ascii="Times New Roman" w:hAnsi="Times New Roman"/>
          <w:sz w:val="24"/>
          <w:szCs w:val="24"/>
          <w:lang w:val="en-CA"/>
        </w:rPr>
        <w:br w:type="page"/>
      </w:r>
    </w:p>
    <w:p w:rsidR="00915A58" w:rsidRPr="00FB4DD8" w:rsidRDefault="00915A58" w:rsidP="00790EC0">
      <w:pPr>
        <w:pStyle w:val="Overskrift5"/>
        <w:spacing w:line="240" w:lineRule="auto"/>
        <w:jc w:val="both"/>
        <w:rPr>
          <w:rFonts w:ascii="Times New Roman" w:hAnsi="Times New Roman"/>
          <w:sz w:val="24"/>
          <w:szCs w:val="24"/>
          <w:lang w:val="en-CA"/>
        </w:rPr>
      </w:pPr>
      <w:r w:rsidRPr="00FB4DD8">
        <w:rPr>
          <w:rFonts w:ascii="Times New Roman" w:hAnsi="Times New Roman"/>
          <w:sz w:val="24"/>
          <w:szCs w:val="24"/>
          <w:lang w:val="en-CA"/>
        </w:rPr>
        <w:lastRenderedPageBreak/>
        <w:t>Literature.</w:t>
      </w:r>
    </w:p>
    <w:p w:rsidR="00582215" w:rsidRPr="00582215" w:rsidRDefault="00582215" w:rsidP="00790EC0">
      <w:pPr>
        <w:spacing w:after="0" w:line="240" w:lineRule="auto"/>
        <w:jc w:val="both"/>
        <w:rPr>
          <w:rFonts w:ascii="Times New Roman" w:hAnsi="Times New Roman"/>
          <w:i/>
          <w:sz w:val="24"/>
          <w:szCs w:val="24"/>
          <w:lang w:val="en-US"/>
        </w:rPr>
      </w:pPr>
      <w:r w:rsidRPr="00582215">
        <w:rPr>
          <w:rFonts w:ascii="Times New Roman" w:hAnsi="Times New Roman"/>
          <w:sz w:val="24"/>
          <w:szCs w:val="24"/>
          <w:lang w:val="en-US"/>
        </w:rPr>
        <w:t>Alber, Jens and Guy Standing (2000)</w:t>
      </w:r>
      <w:r>
        <w:rPr>
          <w:rFonts w:ascii="Times New Roman" w:hAnsi="Times New Roman"/>
          <w:sz w:val="24"/>
          <w:szCs w:val="24"/>
          <w:lang w:val="en-US"/>
        </w:rPr>
        <w:t>,</w:t>
      </w:r>
      <w:r w:rsidRPr="00582215">
        <w:rPr>
          <w:rFonts w:ascii="Times New Roman" w:hAnsi="Times New Roman"/>
          <w:sz w:val="24"/>
          <w:szCs w:val="24"/>
          <w:lang w:val="en-US"/>
        </w:rPr>
        <w:t xml:space="preserve"> </w:t>
      </w:r>
      <w:r w:rsidRPr="00582215">
        <w:rPr>
          <w:rFonts w:ascii="Times New Roman" w:hAnsi="Times New Roman"/>
          <w:i/>
          <w:sz w:val="24"/>
          <w:szCs w:val="24"/>
          <w:lang w:val="en-US"/>
        </w:rPr>
        <w:t>Social Dumping, Catch-Up or Convergence?</w:t>
      </w:r>
    </w:p>
    <w:p w:rsidR="00582215" w:rsidRPr="00582215" w:rsidRDefault="00582215" w:rsidP="00790EC0">
      <w:pPr>
        <w:spacing w:after="0" w:line="240" w:lineRule="auto"/>
        <w:jc w:val="both"/>
        <w:rPr>
          <w:rFonts w:ascii="Times New Roman" w:hAnsi="Times New Roman"/>
          <w:sz w:val="24"/>
          <w:szCs w:val="24"/>
          <w:lang w:val="en-US"/>
        </w:rPr>
      </w:pPr>
      <w:r w:rsidRPr="00582215">
        <w:rPr>
          <w:rFonts w:ascii="Times New Roman" w:hAnsi="Times New Roman"/>
          <w:i/>
          <w:sz w:val="24"/>
          <w:szCs w:val="24"/>
          <w:lang w:val="en-US"/>
        </w:rPr>
        <w:t>Europe in a Comparative Global Context.</w:t>
      </w:r>
      <w:r w:rsidRPr="00582215">
        <w:rPr>
          <w:rFonts w:ascii="Times New Roman" w:hAnsi="Times New Roman"/>
          <w:sz w:val="24"/>
          <w:szCs w:val="24"/>
          <w:lang w:val="en-US"/>
        </w:rPr>
        <w:t xml:space="preserve"> European Journal of Social Policy Vol. 10,</w:t>
      </w:r>
    </w:p>
    <w:p w:rsidR="00582215" w:rsidRPr="00582215" w:rsidRDefault="00582215" w:rsidP="00790EC0">
      <w:pPr>
        <w:spacing w:after="0" w:line="240" w:lineRule="auto"/>
        <w:jc w:val="both"/>
        <w:rPr>
          <w:rFonts w:ascii="Times New Roman" w:hAnsi="Times New Roman"/>
          <w:sz w:val="24"/>
          <w:szCs w:val="24"/>
          <w:lang w:val="en-US"/>
        </w:rPr>
      </w:pPr>
      <w:r w:rsidRPr="00582215">
        <w:rPr>
          <w:rFonts w:ascii="Times New Roman" w:hAnsi="Times New Roman"/>
          <w:sz w:val="24"/>
          <w:szCs w:val="24"/>
          <w:lang w:val="en-US"/>
        </w:rPr>
        <w:t>No. 2, pp. 99-119.</w:t>
      </w:r>
    </w:p>
    <w:p w:rsidR="00915A5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t xml:space="preserve">Alsasua, J., et. Al. (2007), The EU integration process and the convergence of social protection benefits at national level. </w:t>
      </w:r>
      <w:r w:rsidRPr="00FB4DD8">
        <w:rPr>
          <w:rFonts w:ascii="Times New Roman" w:hAnsi="Times New Roman"/>
          <w:i/>
          <w:sz w:val="24"/>
          <w:szCs w:val="24"/>
          <w:lang w:val="en-CA"/>
        </w:rPr>
        <w:t>International Journal of Social Welfare</w:t>
      </w:r>
      <w:r w:rsidRPr="00FB4DD8">
        <w:rPr>
          <w:rFonts w:ascii="Times New Roman" w:hAnsi="Times New Roman"/>
          <w:sz w:val="24"/>
          <w:szCs w:val="24"/>
          <w:lang w:val="en-CA"/>
        </w:rPr>
        <w:t>, Vol. 16, pp. 297-306.</w:t>
      </w:r>
    </w:p>
    <w:p w:rsidR="00F31393" w:rsidRPr="00F31393" w:rsidRDefault="00F31393" w:rsidP="00790EC0">
      <w:pPr>
        <w:spacing w:after="0" w:line="240" w:lineRule="auto"/>
        <w:jc w:val="both"/>
        <w:rPr>
          <w:rFonts w:ascii="Times New Roman" w:hAnsi="Times New Roman"/>
          <w:sz w:val="24"/>
          <w:szCs w:val="24"/>
          <w:lang w:val="en-CA"/>
        </w:rPr>
      </w:pPr>
      <w:r>
        <w:rPr>
          <w:rFonts w:ascii="Times New Roman" w:hAnsi="Times New Roman"/>
          <w:sz w:val="24"/>
          <w:szCs w:val="24"/>
          <w:lang w:val="en-CA"/>
        </w:rPr>
        <w:t xml:space="preserve">Anttonen, A. (2002), Universalism and Social Policy: a Nordic-feminist revalution. </w:t>
      </w:r>
      <w:r>
        <w:rPr>
          <w:rFonts w:ascii="Times New Roman" w:hAnsi="Times New Roman"/>
          <w:i/>
          <w:sz w:val="24"/>
          <w:szCs w:val="24"/>
          <w:lang w:val="en-CA"/>
        </w:rPr>
        <w:t>Nordic Journal of Feminist and Gender Research</w:t>
      </w:r>
      <w:r>
        <w:rPr>
          <w:rFonts w:ascii="Times New Roman" w:hAnsi="Times New Roman"/>
          <w:sz w:val="24"/>
          <w:szCs w:val="24"/>
          <w:lang w:val="en-CA"/>
        </w:rPr>
        <w:t>. Vol. 10, no. 2, pp. 71-80</w:t>
      </w:r>
    </w:p>
    <w:p w:rsidR="00736C96" w:rsidRDefault="00736C96" w:rsidP="00790EC0">
      <w:pPr>
        <w:spacing w:after="0" w:line="240" w:lineRule="auto"/>
        <w:jc w:val="both"/>
        <w:rPr>
          <w:rFonts w:ascii="Times New Roman" w:hAnsi="Times New Roman"/>
          <w:sz w:val="24"/>
          <w:szCs w:val="24"/>
          <w:lang w:val="en-CA"/>
        </w:rPr>
      </w:pPr>
      <w:r>
        <w:rPr>
          <w:rFonts w:ascii="Times New Roman" w:hAnsi="Times New Roman"/>
          <w:sz w:val="24"/>
          <w:szCs w:val="24"/>
          <w:lang w:val="en-CA"/>
        </w:rPr>
        <w:t xml:space="preserve">Aurich, Patrizia (2011), Activating the Unemploymed – Directions and Divisions in Europe. </w:t>
      </w:r>
      <w:r>
        <w:rPr>
          <w:rFonts w:ascii="Times New Roman" w:hAnsi="Times New Roman"/>
          <w:i/>
          <w:sz w:val="24"/>
          <w:szCs w:val="24"/>
          <w:lang w:val="en-CA"/>
        </w:rPr>
        <w:t>European Journal of Social Security</w:t>
      </w:r>
      <w:r>
        <w:rPr>
          <w:rFonts w:ascii="Times New Roman" w:hAnsi="Times New Roman"/>
          <w:sz w:val="24"/>
          <w:szCs w:val="24"/>
          <w:lang w:val="en-CA"/>
        </w:rPr>
        <w:t>. Vol. 13, no. 3, pp.</w:t>
      </w:r>
      <w:r w:rsidR="00F31393">
        <w:rPr>
          <w:rFonts w:ascii="Times New Roman" w:hAnsi="Times New Roman"/>
          <w:sz w:val="24"/>
          <w:szCs w:val="24"/>
          <w:lang w:val="en-CA"/>
        </w:rPr>
        <w:t xml:space="preserve"> </w:t>
      </w:r>
      <w:r>
        <w:rPr>
          <w:rFonts w:ascii="Times New Roman" w:hAnsi="Times New Roman"/>
          <w:sz w:val="24"/>
          <w:szCs w:val="24"/>
          <w:lang w:val="en-CA"/>
        </w:rPr>
        <w:t>294-316.</w:t>
      </w:r>
    </w:p>
    <w:p w:rsidR="0065748A" w:rsidRPr="0065748A" w:rsidRDefault="0065748A" w:rsidP="00790EC0">
      <w:pPr>
        <w:spacing w:after="0" w:line="240" w:lineRule="auto"/>
        <w:jc w:val="both"/>
        <w:rPr>
          <w:rFonts w:ascii="Times New Roman" w:hAnsi="Times New Roman"/>
          <w:i/>
          <w:sz w:val="24"/>
          <w:szCs w:val="24"/>
          <w:lang w:val="en-CA"/>
        </w:rPr>
      </w:pPr>
      <w:r>
        <w:rPr>
          <w:rFonts w:ascii="Times New Roman" w:hAnsi="Times New Roman"/>
          <w:sz w:val="24"/>
          <w:szCs w:val="24"/>
          <w:lang w:val="en-CA"/>
        </w:rPr>
        <w:t xml:space="preserve">Barbier, Jean Claude and Colomb, Fabrice (2012), EU Law as </w:t>
      </w:r>
      <w:r>
        <w:rPr>
          <w:rFonts w:ascii="Times New Roman" w:hAnsi="Times New Roman"/>
          <w:i/>
          <w:sz w:val="24"/>
          <w:szCs w:val="24"/>
          <w:lang w:val="en-CA"/>
        </w:rPr>
        <w:t>Janus bifrons</w:t>
      </w:r>
      <w:r>
        <w:rPr>
          <w:rFonts w:ascii="Times New Roman" w:hAnsi="Times New Roman"/>
          <w:sz w:val="24"/>
          <w:szCs w:val="24"/>
          <w:lang w:val="en-CA"/>
        </w:rPr>
        <w:t xml:space="preserve">, a sociological approach to “Social Europe”, in Barbier, Jean-Claude (ed.) EU Law, Governance and Social Policy. </w:t>
      </w:r>
      <w:r>
        <w:rPr>
          <w:rFonts w:ascii="Times New Roman" w:hAnsi="Times New Roman"/>
          <w:i/>
          <w:sz w:val="24"/>
          <w:szCs w:val="24"/>
          <w:lang w:val="en-CA"/>
        </w:rPr>
        <w:t>European Integration online Papers (EIoP)</w:t>
      </w:r>
      <w:r w:rsidRPr="0065748A">
        <w:rPr>
          <w:rFonts w:ascii="Times New Roman" w:hAnsi="Times New Roman"/>
          <w:sz w:val="24"/>
          <w:szCs w:val="24"/>
          <w:lang w:val="en-CA"/>
        </w:rPr>
        <w:t>, Special Mini-Issue 1, Vol. 16, Article 2.</w:t>
      </w:r>
      <w:r>
        <w:rPr>
          <w:rFonts w:ascii="Times New Roman" w:hAnsi="Times New Roman"/>
          <w:sz w:val="24"/>
          <w:szCs w:val="24"/>
          <w:lang w:val="en-CA"/>
        </w:rPr>
        <w:t xml:space="preserve"> http://eiop.or.at/eiop/texte/2012-002a.htm.</w:t>
      </w:r>
    </w:p>
    <w:p w:rsidR="00915A5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t>Börzel, T. and Risse, T. (2007), Europeanization: The Domestic Impact of European Union Politics in Jørgensen, Pollack and Rosamond, eds. (2007).</w:t>
      </w:r>
    </w:p>
    <w:p w:rsidR="007E2811" w:rsidRPr="007E2811" w:rsidRDefault="007E2811" w:rsidP="00790EC0">
      <w:pPr>
        <w:spacing w:after="0" w:line="240" w:lineRule="auto"/>
        <w:jc w:val="both"/>
        <w:rPr>
          <w:rFonts w:ascii="Times New Roman" w:hAnsi="Times New Roman"/>
          <w:sz w:val="24"/>
          <w:szCs w:val="24"/>
          <w:lang w:val="en-CA"/>
        </w:rPr>
      </w:pPr>
      <w:r>
        <w:rPr>
          <w:rFonts w:ascii="Times New Roman" w:hAnsi="Times New Roman"/>
          <w:sz w:val="24"/>
          <w:szCs w:val="24"/>
          <w:lang w:val="en-CA"/>
        </w:rPr>
        <w:t xml:space="preserve">Caminada, K., Goudswaard, K. and Van Vliet, O (2010), Patterns of Welfare State Indicators in the EU: Is there Convergence? </w:t>
      </w:r>
      <w:r>
        <w:rPr>
          <w:rFonts w:ascii="Times New Roman" w:hAnsi="Times New Roman"/>
          <w:i/>
          <w:sz w:val="24"/>
          <w:szCs w:val="24"/>
          <w:lang w:val="en-CA"/>
        </w:rPr>
        <w:t xml:space="preserve"> Journal of Common Market Studies</w:t>
      </w:r>
      <w:r>
        <w:rPr>
          <w:rFonts w:ascii="Times New Roman" w:hAnsi="Times New Roman"/>
          <w:sz w:val="24"/>
          <w:szCs w:val="24"/>
          <w:lang w:val="en-CA"/>
        </w:rPr>
        <w:t>, vol. 48, no. 3, pp. 529-556.</w:t>
      </w:r>
    </w:p>
    <w:p w:rsidR="00915A58" w:rsidRPr="00FB4DD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t>Citi, M. and Rhodes, M. (2007), New Modes of Governance in the European Union: A Critical Survey and Analysis in Jørgensen, Pollack and Rosamond, eds. (2007).</w:t>
      </w:r>
    </w:p>
    <w:p w:rsidR="00915A58" w:rsidRPr="00FB4DD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t xml:space="preserve">Crespy, Amandine (2010), When ‘Bolkenstein’ is trapped by the French anti-liberal discourse: a discursive-institutionalist account of preference formation in the realm of European Union multi-level politics. </w:t>
      </w:r>
      <w:r w:rsidRPr="00FB4DD8">
        <w:rPr>
          <w:rFonts w:ascii="Times New Roman" w:hAnsi="Times New Roman"/>
          <w:i/>
          <w:sz w:val="24"/>
          <w:szCs w:val="24"/>
          <w:lang w:val="en-CA"/>
        </w:rPr>
        <w:t xml:space="preserve"> Journal of European Public Policy</w:t>
      </w:r>
      <w:r w:rsidRPr="00FB4DD8">
        <w:rPr>
          <w:rFonts w:ascii="Times New Roman" w:hAnsi="Times New Roman"/>
          <w:sz w:val="24"/>
          <w:szCs w:val="24"/>
          <w:lang w:val="en-CA"/>
        </w:rPr>
        <w:t>, vol. 17, no. 8, pp. 1253-1270.</w:t>
      </w:r>
    </w:p>
    <w:p w:rsidR="00915A5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t xml:space="preserve">Crespy, Amandine and Gajewska, Katarzyna (2010), New Parliament, New Cleavages after the Eastern Enlargement? The Conflict over the Service Directives as an Opposition between the Liberals and the Regulators? </w:t>
      </w:r>
      <w:r w:rsidRPr="00FB4DD8">
        <w:rPr>
          <w:rFonts w:ascii="Times New Roman" w:hAnsi="Times New Roman"/>
          <w:i/>
          <w:sz w:val="24"/>
          <w:szCs w:val="24"/>
          <w:lang w:val="en-CA"/>
        </w:rPr>
        <w:t>Journal of Common Market Studies</w:t>
      </w:r>
      <w:r w:rsidRPr="00FB4DD8">
        <w:rPr>
          <w:rFonts w:ascii="Times New Roman" w:hAnsi="Times New Roman"/>
          <w:sz w:val="24"/>
          <w:szCs w:val="24"/>
          <w:lang w:val="en-CA"/>
        </w:rPr>
        <w:t>, vol. 48, no. 5, pp. 1185-1208.</w:t>
      </w:r>
    </w:p>
    <w:p w:rsidR="00E51ED9" w:rsidRPr="00E51ED9" w:rsidRDefault="00E51ED9" w:rsidP="00790EC0">
      <w:pPr>
        <w:spacing w:after="0" w:line="240" w:lineRule="auto"/>
        <w:jc w:val="both"/>
        <w:rPr>
          <w:rFonts w:ascii="Times New Roman" w:hAnsi="Times New Roman"/>
          <w:sz w:val="24"/>
          <w:szCs w:val="24"/>
          <w:lang w:val="en-US"/>
        </w:rPr>
      </w:pPr>
      <w:r>
        <w:rPr>
          <w:rFonts w:ascii="Times New Roman" w:hAnsi="Times New Roman"/>
          <w:sz w:val="24"/>
          <w:szCs w:val="24"/>
          <w:lang w:val="en-CA"/>
        </w:rPr>
        <w:t xml:space="preserve">Falkner, Gerda (2010), European Union in </w:t>
      </w:r>
      <w:r w:rsidRPr="00E51ED9">
        <w:rPr>
          <w:rFonts w:ascii="Times New Roman" w:hAnsi="Times New Roman"/>
          <w:sz w:val="24"/>
          <w:szCs w:val="24"/>
          <w:lang w:val="en-US"/>
        </w:rPr>
        <w:t>The Oxford Handbook of the Welfare State</w:t>
      </w:r>
      <w:r>
        <w:rPr>
          <w:rFonts w:ascii="Times New Roman" w:hAnsi="Times New Roman"/>
          <w:sz w:val="24"/>
          <w:szCs w:val="24"/>
          <w:lang w:val="en-US"/>
        </w:rPr>
        <w:t xml:space="preserve"> e</w:t>
      </w:r>
      <w:r w:rsidRPr="00E51ED9">
        <w:rPr>
          <w:rFonts w:ascii="Times New Roman" w:hAnsi="Times New Roman"/>
          <w:sz w:val="24"/>
          <w:szCs w:val="24"/>
          <w:lang w:val="en-US"/>
        </w:rPr>
        <w:t xml:space="preserve">dited by </w:t>
      </w:r>
      <w:r w:rsidRPr="00E51ED9">
        <w:rPr>
          <w:rFonts w:ascii="Times New Roman" w:hAnsi="Times New Roman"/>
          <w:bCs/>
          <w:sz w:val="24"/>
          <w:szCs w:val="24"/>
          <w:lang w:val="en-US"/>
        </w:rPr>
        <w:t>Francis G. Castles</w:t>
      </w:r>
      <w:r w:rsidRPr="00E51ED9">
        <w:rPr>
          <w:rFonts w:ascii="Times New Roman" w:hAnsi="Times New Roman"/>
          <w:sz w:val="24"/>
          <w:szCs w:val="24"/>
          <w:lang w:val="en-US"/>
        </w:rPr>
        <w:t xml:space="preserve">, </w:t>
      </w:r>
      <w:r w:rsidRPr="00E51ED9">
        <w:rPr>
          <w:rFonts w:ascii="Times New Roman" w:hAnsi="Times New Roman"/>
          <w:bCs/>
          <w:sz w:val="24"/>
          <w:szCs w:val="24"/>
          <w:lang w:val="en-US"/>
        </w:rPr>
        <w:t>Stephan Leibfried</w:t>
      </w:r>
      <w:r w:rsidRPr="00E51ED9">
        <w:rPr>
          <w:rFonts w:ascii="Times New Roman" w:hAnsi="Times New Roman"/>
          <w:sz w:val="24"/>
          <w:szCs w:val="24"/>
          <w:lang w:val="en-US"/>
        </w:rPr>
        <w:t xml:space="preserve">, </w:t>
      </w:r>
      <w:r w:rsidRPr="00E51ED9">
        <w:rPr>
          <w:rFonts w:ascii="Times New Roman" w:hAnsi="Times New Roman"/>
          <w:bCs/>
          <w:sz w:val="24"/>
          <w:szCs w:val="24"/>
          <w:lang w:val="en-US"/>
        </w:rPr>
        <w:t>Jane Lewis</w:t>
      </w:r>
      <w:r w:rsidRPr="00E51ED9">
        <w:rPr>
          <w:rFonts w:ascii="Times New Roman" w:hAnsi="Times New Roman"/>
          <w:sz w:val="24"/>
          <w:szCs w:val="24"/>
          <w:lang w:val="en-US"/>
        </w:rPr>
        <w:t xml:space="preserve">, </w:t>
      </w:r>
      <w:r w:rsidRPr="00E51ED9">
        <w:rPr>
          <w:rFonts w:ascii="Times New Roman" w:hAnsi="Times New Roman"/>
          <w:bCs/>
          <w:sz w:val="24"/>
          <w:szCs w:val="24"/>
          <w:lang w:val="en-US"/>
        </w:rPr>
        <w:t>Herbert Obinger</w:t>
      </w:r>
      <w:r w:rsidRPr="00E51ED9">
        <w:rPr>
          <w:rFonts w:ascii="Times New Roman" w:hAnsi="Times New Roman"/>
          <w:sz w:val="24"/>
          <w:szCs w:val="24"/>
          <w:lang w:val="en-US"/>
        </w:rPr>
        <w:t xml:space="preserve">, and </w:t>
      </w:r>
      <w:r w:rsidRPr="00E51ED9">
        <w:rPr>
          <w:rFonts w:ascii="Times New Roman" w:hAnsi="Times New Roman"/>
          <w:bCs/>
          <w:sz w:val="24"/>
          <w:szCs w:val="24"/>
          <w:lang w:val="en-US"/>
        </w:rPr>
        <w:t>Christopher Pierson</w:t>
      </w:r>
      <w:r>
        <w:rPr>
          <w:rFonts w:ascii="Times New Roman" w:hAnsi="Times New Roman"/>
          <w:sz w:val="24"/>
          <w:szCs w:val="24"/>
          <w:lang w:val="en-US"/>
        </w:rPr>
        <w:t>, Oxford: Oxford University Press.</w:t>
      </w:r>
      <w:r w:rsidRPr="00E51ED9">
        <w:rPr>
          <w:rFonts w:ascii="Times New Roman" w:hAnsi="Times New Roman"/>
          <w:sz w:val="24"/>
          <w:szCs w:val="24"/>
          <w:lang w:val="en-US"/>
        </w:rPr>
        <w:t xml:space="preserve"> </w:t>
      </w:r>
    </w:p>
    <w:p w:rsidR="00E51ED9" w:rsidRPr="00E30F0B" w:rsidRDefault="00E30F0B" w:rsidP="00790EC0">
      <w:pPr>
        <w:spacing w:after="0" w:line="240" w:lineRule="auto"/>
        <w:jc w:val="both"/>
        <w:rPr>
          <w:rFonts w:ascii="Times New Roman" w:hAnsi="Times New Roman"/>
          <w:sz w:val="24"/>
          <w:szCs w:val="24"/>
          <w:lang w:val="en-US"/>
        </w:rPr>
      </w:pPr>
      <w:r>
        <w:rPr>
          <w:rFonts w:ascii="Times New Roman" w:hAnsi="Times New Roman"/>
          <w:sz w:val="24"/>
          <w:szCs w:val="24"/>
          <w:lang w:val="en-US"/>
        </w:rPr>
        <w:t>Gerring,</w:t>
      </w:r>
      <w:r w:rsidR="009B7B09">
        <w:rPr>
          <w:rFonts w:ascii="Times New Roman" w:hAnsi="Times New Roman"/>
          <w:sz w:val="24"/>
          <w:szCs w:val="24"/>
          <w:lang w:val="en-US"/>
        </w:rPr>
        <w:t xml:space="preserve"> </w:t>
      </w:r>
      <w:r>
        <w:rPr>
          <w:rFonts w:ascii="Times New Roman" w:hAnsi="Times New Roman"/>
          <w:sz w:val="24"/>
          <w:szCs w:val="24"/>
          <w:lang w:val="en-US"/>
        </w:rPr>
        <w:t xml:space="preserve">John (2004), What is a Case Study and what is it good for? </w:t>
      </w:r>
      <w:r>
        <w:rPr>
          <w:rFonts w:ascii="Times New Roman" w:hAnsi="Times New Roman"/>
          <w:i/>
          <w:sz w:val="24"/>
          <w:szCs w:val="24"/>
          <w:lang w:val="en-US"/>
        </w:rPr>
        <w:t>American Political Science Review</w:t>
      </w:r>
      <w:r>
        <w:rPr>
          <w:rFonts w:ascii="Times New Roman" w:hAnsi="Times New Roman"/>
          <w:sz w:val="24"/>
          <w:szCs w:val="24"/>
          <w:lang w:val="en-US"/>
        </w:rPr>
        <w:t>, vol. 98(2), pp. 341-354.</w:t>
      </w:r>
    </w:p>
    <w:p w:rsidR="00915A5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t xml:space="preserve">Greer, Scott (2011), The weakness of strong policies and the strength of weak policies: Law, experimentalist governance, and supporting coalitions in European Health Care Policy. </w:t>
      </w:r>
      <w:r w:rsidRPr="00FB4DD8">
        <w:rPr>
          <w:rFonts w:ascii="Times New Roman" w:hAnsi="Times New Roman"/>
          <w:i/>
          <w:sz w:val="24"/>
          <w:szCs w:val="24"/>
          <w:lang w:val="en-CA"/>
        </w:rPr>
        <w:t xml:space="preserve"> Regulation and Governance</w:t>
      </w:r>
      <w:r w:rsidRPr="00FB4DD8">
        <w:rPr>
          <w:rFonts w:ascii="Times New Roman" w:hAnsi="Times New Roman"/>
          <w:sz w:val="24"/>
          <w:szCs w:val="24"/>
          <w:lang w:val="en-CA"/>
        </w:rPr>
        <w:t>, vol. 5, pp. 187-2003.</w:t>
      </w:r>
    </w:p>
    <w:p w:rsidR="00915A5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t xml:space="preserve">Grossman, E. and Woll, C. (2011), The French Debate over the Bolkenstein directive. </w:t>
      </w:r>
      <w:r w:rsidRPr="00FB4DD8">
        <w:rPr>
          <w:rFonts w:ascii="Times New Roman" w:hAnsi="Times New Roman"/>
          <w:i/>
          <w:sz w:val="24"/>
          <w:szCs w:val="24"/>
          <w:lang w:val="en-CA"/>
        </w:rPr>
        <w:t>Comparative European Politics</w:t>
      </w:r>
      <w:r w:rsidRPr="00FB4DD8">
        <w:rPr>
          <w:rFonts w:ascii="Times New Roman" w:hAnsi="Times New Roman"/>
          <w:sz w:val="24"/>
          <w:szCs w:val="24"/>
          <w:lang w:val="en-CA"/>
        </w:rPr>
        <w:t>. Vol. 9, no.3., p. 344-366.</w:t>
      </w:r>
    </w:p>
    <w:p w:rsidR="00A13F06" w:rsidRPr="00FB4DD8" w:rsidRDefault="00A13F06" w:rsidP="00790EC0">
      <w:pPr>
        <w:spacing w:after="0" w:line="240" w:lineRule="auto"/>
        <w:jc w:val="both"/>
        <w:rPr>
          <w:rFonts w:ascii="Times New Roman" w:hAnsi="Times New Roman"/>
          <w:sz w:val="24"/>
          <w:szCs w:val="24"/>
          <w:lang w:val="en-CA"/>
        </w:rPr>
      </w:pPr>
      <w:r>
        <w:rPr>
          <w:rFonts w:ascii="Times New Roman" w:hAnsi="Times New Roman"/>
          <w:sz w:val="24"/>
          <w:szCs w:val="24"/>
          <w:lang w:val="en-CA"/>
        </w:rPr>
        <w:t>Heichel</w:t>
      </w:r>
      <w:r w:rsidRPr="00A13F06">
        <w:rPr>
          <w:rFonts w:ascii="Times New Roman" w:hAnsi="Times New Roman"/>
          <w:sz w:val="24"/>
          <w:szCs w:val="24"/>
          <w:lang w:val="en-CA"/>
        </w:rPr>
        <w:t>,</w:t>
      </w:r>
      <w:r w:rsidR="00E51ED9">
        <w:rPr>
          <w:rFonts w:ascii="Times New Roman" w:hAnsi="Times New Roman"/>
          <w:sz w:val="24"/>
          <w:szCs w:val="24"/>
          <w:lang w:val="en-CA"/>
        </w:rPr>
        <w:t xml:space="preserve"> Stephen,</w:t>
      </w:r>
      <w:r w:rsidRPr="00A13F06">
        <w:rPr>
          <w:rFonts w:ascii="Times New Roman" w:hAnsi="Times New Roman"/>
          <w:sz w:val="24"/>
          <w:szCs w:val="24"/>
          <w:lang w:val="en-CA"/>
        </w:rPr>
        <w:t xml:space="preserve"> Jessica Pape &amp; Thomas Sommerer </w:t>
      </w:r>
      <w:r>
        <w:rPr>
          <w:rFonts w:ascii="Times New Roman" w:hAnsi="Times New Roman"/>
          <w:sz w:val="24"/>
          <w:szCs w:val="24"/>
          <w:lang w:val="en-CA"/>
        </w:rPr>
        <w:t xml:space="preserve">(2005), </w:t>
      </w:r>
      <w:r w:rsidRPr="00A13F06">
        <w:rPr>
          <w:rFonts w:ascii="Times New Roman" w:hAnsi="Times New Roman"/>
          <w:sz w:val="24"/>
          <w:szCs w:val="24"/>
          <w:lang w:val="en-CA"/>
        </w:rPr>
        <w:t>Is there conver</w:t>
      </w:r>
      <w:r>
        <w:rPr>
          <w:rFonts w:ascii="Times New Roman" w:hAnsi="Times New Roman"/>
          <w:sz w:val="24"/>
          <w:szCs w:val="24"/>
          <w:lang w:val="en-CA"/>
        </w:rPr>
        <w:t>gence in convergence research? A</w:t>
      </w:r>
      <w:r w:rsidRPr="00A13F06">
        <w:rPr>
          <w:rFonts w:ascii="Times New Roman" w:hAnsi="Times New Roman"/>
          <w:sz w:val="24"/>
          <w:szCs w:val="24"/>
          <w:lang w:val="en-CA"/>
        </w:rPr>
        <w:t>n overview of empirica</w:t>
      </w:r>
      <w:r>
        <w:rPr>
          <w:rFonts w:ascii="Times New Roman" w:hAnsi="Times New Roman"/>
          <w:sz w:val="24"/>
          <w:szCs w:val="24"/>
          <w:lang w:val="en-CA"/>
        </w:rPr>
        <w:t xml:space="preserve">l studies on policy convergence. Journal of European Public Policy, vol. 12, no. 5, </w:t>
      </w:r>
      <w:r w:rsidRPr="00A13F06">
        <w:rPr>
          <w:rFonts w:ascii="Times New Roman" w:hAnsi="Times New Roman"/>
          <w:sz w:val="24"/>
          <w:szCs w:val="24"/>
          <w:lang w:val="en-CA"/>
        </w:rPr>
        <w:t>pages 817-840</w:t>
      </w:r>
    </w:p>
    <w:p w:rsidR="00915A58" w:rsidRPr="00FB4DD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t xml:space="preserve">Heise, A. (2008). European Economic governance: what is it, where are we and where do we go? </w:t>
      </w:r>
      <w:r w:rsidRPr="00FB4DD8">
        <w:rPr>
          <w:rFonts w:ascii="Times New Roman" w:hAnsi="Times New Roman"/>
          <w:i/>
          <w:sz w:val="24"/>
          <w:szCs w:val="24"/>
          <w:lang w:val="en-CA"/>
        </w:rPr>
        <w:t>International Journal of Public Policy</w:t>
      </w:r>
      <w:r w:rsidRPr="00FB4DD8">
        <w:rPr>
          <w:rFonts w:ascii="Times New Roman" w:hAnsi="Times New Roman"/>
          <w:sz w:val="24"/>
          <w:szCs w:val="24"/>
          <w:lang w:val="en-CA"/>
        </w:rPr>
        <w:t>, vol. 3, no. ½, pp. 1-19.</w:t>
      </w:r>
    </w:p>
    <w:p w:rsidR="00915A58" w:rsidRPr="00FB4DD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t xml:space="preserve">Jacquot, Sophies et. Al. (2011), A Means to Changing ed. European Resources: The EU and reconciliation of paid work and private life. </w:t>
      </w:r>
      <w:r w:rsidRPr="00FB4DD8">
        <w:rPr>
          <w:rFonts w:ascii="Times New Roman" w:hAnsi="Times New Roman"/>
          <w:i/>
          <w:sz w:val="24"/>
          <w:szCs w:val="24"/>
          <w:lang w:val="en-CA"/>
        </w:rPr>
        <w:t>European Journal of Social Security</w:t>
      </w:r>
      <w:r w:rsidRPr="00FB4DD8">
        <w:rPr>
          <w:rFonts w:ascii="Times New Roman" w:hAnsi="Times New Roman"/>
          <w:sz w:val="24"/>
          <w:szCs w:val="24"/>
          <w:lang w:val="en-CA"/>
        </w:rPr>
        <w:t>, vol. 13, no. 1, pp. 26-46.</w:t>
      </w:r>
    </w:p>
    <w:p w:rsidR="00915A5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t xml:space="preserve">Jørgensen, K.E., Pollack, M. and Rosamond, B. (2007), </w:t>
      </w:r>
      <w:r w:rsidRPr="00FB4DD8">
        <w:rPr>
          <w:rFonts w:ascii="Times New Roman" w:hAnsi="Times New Roman"/>
          <w:i/>
          <w:sz w:val="24"/>
          <w:szCs w:val="24"/>
          <w:lang w:val="en-CA"/>
        </w:rPr>
        <w:t>Handbook of European Union Politics</w:t>
      </w:r>
      <w:r w:rsidRPr="00FB4DD8">
        <w:rPr>
          <w:rFonts w:ascii="Times New Roman" w:hAnsi="Times New Roman"/>
          <w:sz w:val="24"/>
          <w:szCs w:val="24"/>
          <w:lang w:val="en-CA"/>
        </w:rPr>
        <w:t>, London, Sage.</w:t>
      </w:r>
    </w:p>
    <w:p w:rsidR="00D306F5" w:rsidRDefault="00D306F5" w:rsidP="00790EC0">
      <w:pPr>
        <w:spacing w:after="0" w:line="240" w:lineRule="auto"/>
        <w:jc w:val="both"/>
        <w:rPr>
          <w:rFonts w:ascii="Times New Roman" w:eastAsia="Times New Roman" w:hAnsi="Times New Roman"/>
          <w:sz w:val="24"/>
          <w:szCs w:val="24"/>
          <w:lang w:val="en-US" w:eastAsia="de-DE"/>
        </w:rPr>
      </w:pPr>
      <w:r w:rsidRPr="002C0FB6">
        <w:rPr>
          <w:rFonts w:ascii="Times New Roman" w:eastAsia="Times New Roman" w:hAnsi="Times New Roman"/>
          <w:sz w:val="24"/>
          <w:szCs w:val="24"/>
          <w:lang w:val="en-US" w:eastAsia="de-DE"/>
        </w:rPr>
        <w:lastRenderedPageBreak/>
        <w:t>Kangas, O. and Kvist, J. (2013), Nordic Welfare States in Greve, B, (ed.): The Routledge Handbook of the Welfare State, Oxon:Routledge.</w:t>
      </w:r>
    </w:p>
    <w:p w:rsidR="00915A58" w:rsidRPr="006F6A6F" w:rsidRDefault="00915A58" w:rsidP="00790EC0">
      <w:pPr>
        <w:spacing w:after="0" w:line="240" w:lineRule="auto"/>
        <w:jc w:val="both"/>
        <w:rPr>
          <w:rFonts w:ascii="Times New Roman" w:hAnsi="Times New Roman"/>
          <w:sz w:val="24"/>
          <w:szCs w:val="24"/>
          <w:lang w:val="da-DK"/>
        </w:rPr>
      </w:pPr>
      <w:r w:rsidRPr="00FB4DD8">
        <w:rPr>
          <w:rFonts w:ascii="Times New Roman" w:hAnsi="Times New Roman"/>
          <w:sz w:val="24"/>
          <w:szCs w:val="24"/>
          <w:lang w:val="en-CA"/>
        </w:rPr>
        <w:t xml:space="preserve">Korpi, Walter (2003), Welfare-State Regress in Western Europe, Institutions, Globalization, and Europeanization. </w:t>
      </w:r>
      <w:r w:rsidRPr="006F6A6F">
        <w:rPr>
          <w:rFonts w:ascii="Times New Roman" w:hAnsi="Times New Roman"/>
          <w:i/>
          <w:sz w:val="24"/>
          <w:szCs w:val="24"/>
          <w:lang w:val="da-DK"/>
        </w:rPr>
        <w:t>Annual Review of Sociology</w:t>
      </w:r>
      <w:r w:rsidRPr="006F6A6F">
        <w:rPr>
          <w:rFonts w:ascii="Times New Roman" w:hAnsi="Times New Roman"/>
          <w:sz w:val="24"/>
          <w:szCs w:val="24"/>
          <w:lang w:val="da-DK"/>
        </w:rPr>
        <w:t>, vol. 29, pp. 589-609.</w:t>
      </w:r>
    </w:p>
    <w:p w:rsidR="00915A58" w:rsidRPr="00FB4DD8" w:rsidRDefault="00915A58" w:rsidP="00790EC0">
      <w:pPr>
        <w:spacing w:after="0" w:line="240" w:lineRule="auto"/>
        <w:jc w:val="both"/>
        <w:rPr>
          <w:rFonts w:ascii="Times New Roman" w:hAnsi="Times New Roman"/>
          <w:sz w:val="24"/>
          <w:szCs w:val="24"/>
          <w:lang w:val="en-CA"/>
        </w:rPr>
      </w:pPr>
      <w:r w:rsidRPr="006F6A6F">
        <w:rPr>
          <w:rFonts w:ascii="Times New Roman" w:hAnsi="Times New Roman"/>
          <w:sz w:val="24"/>
          <w:szCs w:val="24"/>
          <w:lang w:val="da-DK"/>
        </w:rPr>
        <w:t xml:space="preserve">Kristiansen, J (2011), Arbejdsgiveres frie valg af arbejdskraft og produktionssted in Poulsen and Jørgensen (ed.). </w:t>
      </w:r>
      <w:r w:rsidRPr="00FB4DD8">
        <w:rPr>
          <w:rFonts w:ascii="Times New Roman" w:hAnsi="Times New Roman"/>
          <w:sz w:val="24"/>
          <w:szCs w:val="24"/>
          <w:lang w:val="en-CA"/>
        </w:rPr>
        <w:t>2011.</w:t>
      </w:r>
    </w:p>
    <w:p w:rsidR="00915A58" w:rsidRPr="00FB4DD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t>Kuhnle,Stein (1999), Survival of the European Welfare State. Oslo, Arena Working Paper no. 9.</w:t>
      </w:r>
    </w:p>
    <w:p w:rsidR="00915A58" w:rsidRPr="00FB4DD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t xml:space="preserve">Kumlin, Staffan (2010), Claiming Blame and Giving Credit: Unintended Effects of How Government and Opposition Frame the Europeanization of Welfare. </w:t>
      </w:r>
      <w:r w:rsidRPr="00FB4DD8">
        <w:rPr>
          <w:rFonts w:ascii="Times New Roman" w:hAnsi="Times New Roman"/>
          <w:i/>
          <w:sz w:val="24"/>
          <w:szCs w:val="24"/>
          <w:lang w:val="en-CA"/>
        </w:rPr>
        <w:t xml:space="preserve"> QoG Working Papers Series, 2010:26</w:t>
      </w:r>
      <w:r w:rsidRPr="00FB4DD8">
        <w:rPr>
          <w:rFonts w:ascii="Times New Roman" w:hAnsi="Times New Roman"/>
          <w:sz w:val="24"/>
          <w:szCs w:val="24"/>
          <w:lang w:val="en-CA"/>
        </w:rPr>
        <w:t>, Quality of Government Institute, University of Gothenburg.</w:t>
      </w:r>
    </w:p>
    <w:p w:rsidR="00915A58" w:rsidRPr="00FB4DD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t>Kvist, J. and Saari, J.(ed.)(2007),The Europeanisation of Social Protection. Bristol, Policy Press.</w:t>
      </w:r>
    </w:p>
    <w:p w:rsidR="00915A58" w:rsidRPr="00FB4DD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bCs/>
          <w:sz w:val="24"/>
          <w:szCs w:val="24"/>
          <w:lang w:val="en-CA"/>
        </w:rPr>
        <w:t xml:space="preserve">Martinsen, D.S. (2005), The Europeanization of Welfare. </w:t>
      </w:r>
      <w:r w:rsidRPr="00FB4DD8">
        <w:rPr>
          <w:rFonts w:ascii="Times New Roman" w:hAnsi="Times New Roman"/>
          <w:bCs/>
          <w:i/>
          <w:sz w:val="24"/>
          <w:szCs w:val="24"/>
          <w:lang w:val="en-CA"/>
        </w:rPr>
        <w:t>Journal of Common Market Studies</w:t>
      </w:r>
      <w:r w:rsidRPr="00FB4DD8">
        <w:rPr>
          <w:rFonts w:ascii="Times New Roman" w:hAnsi="Times New Roman"/>
          <w:bCs/>
          <w:sz w:val="24"/>
          <w:szCs w:val="24"/>
          <w:lang w:val="en-CA"/>
        </w:rPr>
        <w:t>, vol. 43, no. 5, pp. 1027-54</w:t>
      </w:r>
    </w:p>
    <w:p w:rsidR="00915A5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t xml:space="preserve">Martinsen, D.S. and Vrangbæk, K. (2008), The Euroeanization of Health Care Governance: Implementing the Market Imperatives of Europe. </w:t>
      </w:r>
      <w:r w:rsidRPr="00FB4DD8">
        <w:rPr>
          <w:rFonts w:ascii="Times New Roman" w:hAnsi="Times New Roman"/>
          <w:i/>
          <w:sz w:val="24"/>
          <w:szCs w:val="24"/>
          <w:lang w:val="en-CA"/>
        </w:rPr>
        <w:t>Public Administration</w:t>
      </w:r>
      <w:r w:rsidRPr="00FB4DD8">
        <w:rPr>
          <w:rFonts w:ascii="Times New Roman" w:hAnsi="Times New Roman"/>
          <w:sz w:val="24"/>
          <w:szCs w:val="24"/>
          <w:lang w:val="en-CA"/>
        </w:rPr>
        <w:t xml:space="preserve"> vol. 86, no. 1, pp. 169-184.</w:t>
      </w:r>
    </w:p>
    <w:p w:rsidR="00550ACA" w:rsidRPr="00550ACA" w:rsidRDefault="00550ACA" w:rsidP="00790EC0">
      <w:pPr>
        <w:spacing w:after="0" w:line="240" w:lineRule="auto"/>
        <w:rPr>
          <w:rFonts w:ascii="Times New Roman" w:hAnsi="Times New Roman"/>
          <w:sz w:val="24"/>
          <w:szCs w:val="24"/>
          <w:lang w:val="en-CA"/>
        </w:rPr>
      </w:pPr>
      <w:r w:rsidRPr="00550ACA">
        <w:rPr>
          <w:rFonts w:ascii="Times New Roman" w:hAnsi="Times New Roman"/>
          <w:sz w:val="24"/>
          <w:szCs w:val="24"/>
          <w:lang w:val="en-CA"/>
        </w:rPr>
        <w:t>Martinsen, D.S. (2012), Welfare States and Social Europe (53-72). In Neergaard, Ulla et. Al. (eds.), Social Services of General Interest in the EU. The Hauge, T.M.C. Asser Press.</w:t>
      </w:r>
    </w:p>
    <w:p w:rsidR="00915A5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t>Morgan, Hannah (2005), Disabled People and Employment: the potential impact of European Policy in Roulstone, A, and Barnes, C. (eds.), Working Future?, Disabled People, policy and social inclusion. Bristol, Policy Press.</w:t>
      </w:r>
    </w:p>
    <w:p w:rsidR="00B10A75" w:rsidRPr="00BD6DC4" w:rsidRDefault="00B10A75" w:rsidP="00790EC0">
      <w:pPr>
        <w:spacing w:after="0" w:line="240" w:lineRule="auto"/>
        <w:jc w:val="both"/>
        <w:rPr>
          <w:rFonts w:ascii="Times New Roman" w:hAnsi="Times New Roman"/>
          <w:sz w:val="24"/>
          <w:szCs w:val="24"/>
          <w:lang w:val="da-DK"/>
        </w:rPr>
      </w:pPr>
      <w:r>
        <w:rPr>
          <w:rFonts w:ascii="Times New Roman" w:hAnsi="Times New Roman"/>
          <w:sz w:val="24"/>
          <w:szCs w:val="24"/>
          <w:lang w:val="en-CA"/>
        </w:rPr>
        <w:t xml:space="preserve">Paetzold, Jörg (2013), The Convergence of Welfare State Indicators in Europe: Evidence from Panel Data. </w:t>
      </w:r>
      <w:r w:rsidRPr="00BD6DC4">
        <w:rPr>
          <w:rFonts w:ascii="Times New Roman" w:hAnsi="Times New Roman"/>
          <w:i/>
          <w:sz w:val="24"/>
          <w:szCs w:val="24"/>
          <w:lang w:val="da-DK"/>
        </w:rPr>
        <w:t>European Journal of Social Security</w:t>
      </w:r>
      <w:r w:rsidRPr="00BD6DC4">
        <w:rPr>
          <w:rFonts w:ascii="Times New Roman" w:hAnsi="Times New Roman"/>
          <w:sz w:val="24"/>
          <w:szCs w:val="24"/>
          <w:lang w:val="da-DK"/>
        </w:rPr>
        <w:t>, volume 15, no. 1 pp. 28-54.</w:t>
      </w:r>
    </w:p>
    <w:p w:rsidR="00D065DD" w:rsidRPr="00BD6DC4" w:rsidRDefault="00D065DD" w:rsidP="00790EC0">
      <w:pPr>
        <w:spacing w:after="0" w:line="240" w:lineRule="auto"/>
        <w:jc w:val="both"/>
        <w:rPr>
          <w:rFonts w:ascii="Times New Roman" w:hAnsi="Times New Roman"/>
          <w:sz w:val="24"/>
          <w:szCs w:val="24"/>
          <w:lang w:val="en-US"/>
        </w:rPr>
      </w:pPr>
      <w:r w:rsidRPr="00D065DD">
        <w:rPr>
          <w:rFonts w:ascii="Times New Roman" w:hAnsi="Times New Roman"/>
          <w:sz w:val="24"/>
          <w:szCs w:val="24"/>
          <w:lang w:val="da-DK"/>
        </w:rPr>
        <w:t xml:space="preserve">Politiken (2013), Dobbelt så mange østeuropæere får børnecheck. </w:t>
      </w:r>
      <w:r w:rsidRPr="00BD6DC4">
        <w:rPr>
          <w:rFonts w:ascii="Times New Roman" w:hAnsi="Times New Roman"/>
          <w:sz w:val="24"/>
          <w:szCs w:val="24"/>
          <w:lang w:val="en-US"/>
        </w:rPr>
        <w:t>København, Politiken, 9. juli, page 5.</w:t>
      </w:r>
    </w:p>
    <w:p w:rsidR="00915A5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t xml:space="preserve">Pennings, Frans (2009), Introduction: Regulation 883/2004 – The Third Coordination Regulation in a Row. </w:t>
      </w:r>
      <w:r w:rsidRPr="00FB4DD8">
        <w:rPr>
          <w:rFonts w:ascii="Times New Roman" w:hAnsi="Times New Roman"/>
          <w:i/>
          <w:sz w:val="24"/>
          <w:szCs w:val="24"/>
          <w:lang w:val="en-CA"/>
        </w:rPr>
        <w:t xml:space="preserve">European Journal of Social Security, </w:t>
      </w:r>
      <w:r w:rsidRPr="00FB4DD8">
        <w:rPr>
          <w:rFonts w:ascii="Times New Roman" w:hAnsi="Times New Roman"/>
          <w:sz w:val="24"/>
          <w:szCs w:val="24"/>
          <w:lang w:val="en-CA"/>
        </w:rPr>
        <w:t>volume 11, no. 1-2 pp. 3-7.</w:t>
      </w:r>
    </w:p>
    <w:p w:rsidR="00BA7532" w:rsidRDefault="00BA7532" w:rsidP="00790EC0">
      <w:pPr>
        <w:spacing w:after="0" w:line="240" w:lineRule="auto"/>
        <w:jc w:val="both"/>
        <w:rPr>
          <w:rFonts w:ascii="Times New Roman" w:hAnsi="Times New Roman"/>
          <w:sz w:val="24"/>
          <w:szCs w:val="24"/>
          <w:lang w:val="en-CA"/>
        </w:rPr>
      </w:pPr>
      <w:r>
        <w:rPr>
          <w:rFonts w:ascii="Times New Roman" w:hAnsi="Times New Roman"/>
          <w:sz w:val="24"/>
          <w:szCs w:val="24"/>
          <w:lang w:val="en-CA"/>
        </w:rPr>
        <w:t xml:space="preserve">Pennings, Frans (2011), The Cross-border Health Care Directive, </w:t>
      </w:r>
      <w:r>
        <w:rPr>
          <w:rFonts w:ascii="Times New Roman" w:hAnsi="Times New Roman"/>
          <w:i/>
          <w:sz w:val="24"/>
          <w:szCs w:val="24"/>
          <w:lang w:val="en-CA"/>
        </w:rPr>
        <w:t xml:space="preserve">European Journal of Social Security, </w:t>
      </w:r>
      <w:r>
        <w:rPr>
          <w:rFonts w:ascii="Times New Roman" w:hAnsi="Times New Roman"/>
          <w:sz w:val="24"/>
          <w:szCs w:val="24"/>
          <w:lang w:val="en-CA"/>
        </w:rPr>
        <w:t>, vol. 13, no. 4, pp.424-452.</w:t>
      </w:r>
    </w:p>
    <w:p w:rsidR="00915A58" w:rsidRPr="006F6A6F" w:rsidRDefault="00915A58" w:rsidP="00790EC0">
      <w:pPr>
        <w:spacing w:after="0" w:line="240" w:lineRule="auto"/>
        <w:jc w:val="both"/>
        <w:rPr>
          <w:rFonts w:ascii="Times New Roman" w:hAnsi="Times New Roman"/>
          <w:sz w:val="24"/>
          <w:szCs w:val="24"/>
          <w:lang w:val="da-DK"/>
        </w:rPr>
      </w:pPr>
      <w:r w:rsidRPr="006F6A6F">
        <w:rPr>
          <w:rFonts w:ascii="Times New Roman" w:hAnsi="Times New Roman"/>
          <w:sz w:val="24"/>
          <w:szCs w:val="24"/>
          <w:lang w:val="da-DK"/>
        </w:rPr>
        <w:t>Poulsen, S. &amp; Jørgensen, S. (2011), Frit valg. Velfærd i Den Europæiske Union. København, Jurist- og Økonomforbundets Forlag.</w:t>
      </w:r>
    </w:p>
    <w:p w:rsidR="00915A58" w:rsidRPr="00FB4DD8" w:rsidRDefault="00915A58" w:rsidP="00790EC0">
      <w:pPr>
        <w:spacing w:after="0" w:line="240" w:lineRule="auto"/>
        <w:jc w:val="both"/>
        <w:rPr>
          <w:rFonts w:ascii="Times New Roman" w:hAnsi="Times New Roman"/>
          <w:sz w:val="24"/>
          <w:szCs w:val="24"/>
          <w:lang w:val="en-CA"/>
        </w:rPr>
      </w:pPr>
      <w:r w:rsidRPr="003B27D2">
        <w:rPr>
          <w:rFonts w:ascii="Times New Roman" w:hAnsi="Times New Roman"/>
          <w:sz w:val="24"/>
          <w:szCs w:val="24"/>
          <w:lang w:val="en-US"/>
        </w:rPr>
        <w:t xml:space="preserve">Radaelli, C.M. (2003), The Europeanization of Public Policy. </w:t>
      </w:r>
      <w:r w:rsidRPr="00FB4DD8">
        <w:rPr>
          <w:rFonts w:ascii="Times New Roman" w:hAnsi="Times New Roman"/>
          <w:sz w:val="24"/>
          <w:szCs w:val="24"/>
          <w:lang w:val="en-CA"/>
        </w:rPr>
        <w:t>In Featherstone and Radaelli, (eds.), The Politics of Europeanization. Oxford: Oxford University Press.</w:t>
      </w:r>
    </w:p>
    <w:p w:rsidR="00915A58" w:rsidRPr="00FB4DD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t>Radelli, C.M. (2004), Europeanisastion: Solution of problem? European Integration online Papers (EIoP), vol. 8, no. 16.</w:t>
      </w:r>
    </w:p>
    <w:p w:rsidR="00915A5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t>Radaelli, C.M. (2005), Diffusion without Convergence: How Political Context Shapes the Adoption of Regulatory Impact Assessment, Journal of European Public Policy, vol 12, no. 5, pp. 924-943.</w:t>
      </w:r>
    </w:p>
    <w:p w:rsidR="00663874" w:rsidRDefault="00663874" w:rsidP="00790EC0">
      <w:pPr>
        <w:spacing w:after="0" w:line="240" w:lineRule="auto"/>
        <w:jc w:val="both"/>
        <w:rPr>
          <w:rFonts w:ascii="Times New Roman" w:hAnsi="Times New Roman"/>
          <w:sz w:val="24"/>
          <w:szCs w:val="24"/>
        </w:rPr>
      </w:pPr>
      <w:r w:rsidRPr="00663874">
        <w:rPr>
          <w:rFonts w:ascii="Times New Roman" w:hAnsi="Times New Roman"/>
          <w:sz w:val="24"/>
          <w:szCs w:val="24"/>
          <w:lang w:val="da-DK"/>
        </w:rPr>
        <w:t xml:space="preserve">Regeringen (2011), Rapport om Optjeningsprincipper </w:t>
      </w:r>
      <w:r>
        <w:rPr>
          <w:rFonts w:ascii="Times New Roman" w:hAnsi="Times New Roman"/>
          <w:sz w:val="24"/>
          <w:szCs w:val="24"/>
          <w:lang w:val="da-DK"/>
        </w:rPr>
        <w:t>i</w:t>
      </w:r>
      <w:r w:rsidRPr="00663874">
        <w:rPr>
          <w:rFonts w:ascii="Times New Roman" w:hAnsi="Times New Roman"/>
          <w:sz w:val="24"/>
          <w:szCs w:val="24"/>
          <w:lang w:val="da-DK"/>
        </w:rPr>
        <w:t xml:space="preserve"> forhold til danske velfærdsydelser.</w:t>
      </w:r>
      <w:r>
        <w:rPr>
          <w:rFonts w:ascii="Times New Roman" w:hAnsi="Times New Roman"/>
          <w:sz w:val="24"/>
          <w:szCs w:val="24"/>
          <w:lang w:val="da-DK"/>
        </w:rPr>
        <w:t xml:space="preserve"> </w:t>
      </w:r>
      <w:r w:rsidRPr="00607C8C">
        <w:rPr>
          <w:rFonts w:ascii="Times New Roman" w:hAnsi="Times New Roman"/>
          <w:sz w:val="24"/>
          <w:szCs w:val="24"/>
          <w:lang w:val="en-US"/>
        </w:rPr>
        <w:t>Marts, 2011.</w:t>
      </w:r>
      <w:r w:rsidRPr="00663874">
        <w:t xml:space="preserve"> </w:t>
      </w:r>
      <w:hyperlink r:id="rId9" w:history="1">
        <w:r w:rsidRPr="006B700C">
          <w:rPr>
            <w:rStyle w:val="Hyperlink"/>
            <w:rFonts w:ascii="Times New Roman" w:hAnsi="Times New Roman"/>
            <w:sz w:val="24"/>
            <w:szCs w:val="24"/>
          </w:rPr>
          <w:t>http://bm.dk/Aktuelt/Nyheder/Pressemeddelelser/Arkiv/2011/04/~/media/BEM/Files/Dokumenter/Pressemeddelelser/2011/Optjening/Samlet%20rapport.ashx</w:t>
        </w:r>
      </w:hyperlink>
      <w:r>
        <w:rPr>
          <w:rFonts w:ascii="Times New Roman" w:hAnsi="Times New Roman"/>
          <w:sz w:val="24"/>
          <w:szCs w:val="24"/>
        </w:rPr>
        <w:t>.</w:t>
      </w:r>
    </w:p>
    <w:p w:rsidR="00582215" w:rsidRPr="00582215" w:rsidRDefault="00582215" w:rsidP="00790EC0">
      <w:pPr>
        <w:spacing w:after="0" w:line="240" w:lineRule="auto"/>
        <w:jc w:val="both"/>
        <w:rPr>
          <w:rFonts w:ascii="Times New Roman" w:hAnsi="Times New Roman"/>
          <w:sz w:val="24"/>
          <w:szCs w:val="24"/>
          <w:lang w:val="en-US"/>
        </w:rPr>
      </w:pPr>
      <w:r w:rsidRPr="00582215">
        <w:rPr>
          <w:rFonts w:ascii="Times New Roman" w:hAnsi="Times New Roman"/>
          <w:sz w:val="24"/>
          <w:szCs w:val="24"/>
          <w:lang w:val="en-US"/>
        </w:rPr>
        <w:t>Scharpf, Fritz W.</w:t>
      </w:r>
      <w:r>
        <w:rPr>
          <w:rFonts w:ascii="Times New Roman" w:hAnsi="Times New Roman"/>
          <w:sz w:val="24"/>
          <w:szCs w:val="24"/>
          <w:lang w:val="en-US"/>
        </w:rPr>
        <w:t xml:space="preserve">(2002), </w:t>
      </w:r>
      <w:r w:rsidRPr="00582215">
        <w:rPr>
          <w:rFonts w:ascii="Times New Roman" w:hAnsi="Times New Roman"/>
          <w:i/>
          <w:sz w:val="24"/>
          <w:szCs w:val="24"/>
          <w:lang w:val="en-US"/>
        </w:rPr>
        <w:t>The European Social Model: Coping with the challenges of diversity</w:t>
      </w:r>
    </w:p>
    <w:p w:rsidR="00582215" w:rsidRPr="00582215" w:rsidRDefault="00582215" w:rsidP="00790EC0">
      <w:pPr>
        <w:spacing w:after="0" w:line="240" w:lineRule="auto"/>
        <w:jc w:val="both"/>
        <w:rPr>
          <w:rFonts w:ascii="Times New Roman" w:hAnsi="Times New Roman"/>
          <w:sz w:val="24"/>
          <w:szCs w:val="24"/>
          <w:lang w:val="en-US"/>
        </w:rPr>
      </w:pPr>
      <w:r w:rsidRPr="00582215">
        <w:rPr>
          <w:rFonts w:ascii="Times New Roman" w:hAnsi="Times New Roman"/>
          <w:sz w:val="24"/>
          <w:szCs w:val="24"/>
          <w:lang w:val="en-US"/>
        </w:rPr>
        <w:t>MPIfG working paper, No. 02/8</w:t>
      </w:r>
      <w:r>
        <w:rPr>
          <w:rFonts w:ascii="Times New Roman" w:hAnsi="Times New Roman"/>
          <w:sz w:val="24"/>
          <w:szCs w:val="24"/>
          <w:lang w:val="en-US"/>
        </w:rPr>
        <w:t>.</w:t>
      </w:r>
    </w:p>
    <w:p w:rsidR="00A57960" w:rsidRPr="00FB4DD8" w:rsidRDefault="00A57960" w:rsidP="00790EC0">
      <w:pPr>
        <w:spacing w:after="0" w:line="240" w:lineRule="auto"/>
        <w:jc w:val="both"/>
        <w:rPr>
          <w:rFonts w:ascii="Times New Roman" w:hAnsi="Times New Roman"/>
          <w:sz w:val="24"/>
          <w:szCs w:val="24"/>
          <w:lang w:val="en-CA"/>
        </w:rPr>
      </w:pPr>
      <w:r>
        <w:rPr>
          <w:rFonts w:ascii="Times New Roman" w:hAnsi="Times New Roman"/>
          <w:sz w:val="24"/>
          <w:szCs w:val="24"/>
          <w:lang w:val="en-CA"/>
        </w:rPr>
        <w:t xml:space="preserve">Sindbjerg, M. (2012), Welfare States and Social Europe in </w:t>
      </w:r>
      <w:r w:rsidR="009E2E4D">
        <w:rPr>
          <w:rFonts w:ascii="Times New Roman" w:hAnsi="Times New Roman"/>
          <w:sz w:val="24"/>
          <w:szCs w:val="24"/>
          <w:lang w:val="en-CA"/>
        </w:rPr>
        <w:t xml:space="preserve">Neergarad et. Al. (eds): </w:t>
      </w:r>
      <w:r>
        <w:rPr>
          <w:rFonts w:ascii="Times New Roman" w:hAnsi="Times New Roman"/>
          <w:sz w:val="24"/>
          <w:szCs w:val="24"/>
          <w:lang w:val="en-CA"/>
        </w:rPr>
        <w:t>Social in Social Services of General Interest in the EU, The Hague</w:t>
      </w:r>
      <w:r w:rsidR="009E2E4D">
        <w:rPr>
          <w:rFonts w:ascii="Times New Roman" w:hAnsi="Times New Roman"/>
          <w:sz w:val="24"/>
          <w:szCs w:val="24"/>
          <w:lang w:val="en-CA"/>
        </w:rPr>
        <w:t>.</w:t>
      </w:r>
    </w:p>
    <w:p w:rsidR="00915A58" w:rsidRPr="00FB4DD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t xml:space="preserve">Teague, Paul (2001), Deliverative Governance and EU Social Policy. </w:t>
      </w:r>
      <w:r w:rsidRPr="00FB4DD8">
        <w:rPr>
          <w:rFonts w:ascii="Times New Roman" w:hAnsi="Times New Roman"/>
          <w:i/>
          <w:sz w:val="24"/>
          <w:szCs w:val="24"/>
          <w:lang w:val="en-CA"/>
        </w:rPr>
        <w:t xml:space="preserve"> European Journal of Industrial Relations</w:t>
      </w:r>
      <w:r w:rsidRPr="00FB4DD8">
        <w:rPr>
          <w:rFonts w:ascii="Times New Roman" w:hAnsi="Times New Roman"/>
          <w:sz w:val="24"/>
          <w:szCs w:val="24"/>
          <w:lang w:val="en-CA"/>
        </w:rPr>
        <w:t>, vol. 7. No. 1, pp. 7-26.</w:t>
      </w:r>
    </w:p>
    <w:p w:rsidR="00915A58" w:rsidRPr="00FB4DD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lastRenderedPageBreak/>
        <w:t xml:space="preserve">Verschraegen, Gert et. Al. (2011), The European Social Fund and domestic activation policies: Europeanization mechanism. </w:t>
      </w:r>
      <w:r w:rsidRPr="00FB4DD8">
        <w:rPr>
          <w:rFonts w:ascii="Times New Roman" w:hAnsi="Times New Roman"/>
          <w:i/>
          <w:sz w:val="24"/>
          <w:szCs w:val="24"/>
          <w:lang w:val="en-CA"/>
        </w:rPr>
        <w:t>Journal of European Social Policy</w:t>
      </w:r>
      <w:r w:rsidRPr="00FB4DD8">
        <w:rPr>
          <w:rFonts w:ascii="Times New Roman" w:hAnsi="Times New Roman"/>
          <w:sz w:val="24"/>
          <w:szCs w:val="24"/>
          <w:lang w:val="en-CA"/>
        </w:rPr>
        <w:t>, vol. 21, no. 1, pp. 55-72.</w:t>
      </w:r>
    </w:p>
    <w:p w:rsidR="00915A5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t xml:space="preserve">Verdier, D. and Breen, R. (2001), Europeanization and Globalization. Politics Against Markets in the European Union. </w:t>
      </w:r>
      <w:r w:rsidRPr="00FB4DD8">
        <w:rPr>
          <w:rFonts w:ascii="Times New Roman" w:hAnsi="Times New Roman"/>
          <w:i/>
          <w:sz w:val="24"/>
          <w:szCs w:val="24"/>
          <w:lang w:val="en-CA"/>
        </w:rPr>
        <w:t xml:space="preserve"> Comparative Political Studies</w:t>
      </w:r>
      <w:r w:rsidRPr="00FB4DD8">
        <w:rPr>
          <w:rFonts w:ascii="Times New Roman" w:hAnsi="Times New Roman"/>
          <w:sz w:val="24"/>
          <w:szCs w:val="24"/>
          <w:lang w:val="en-CA"/>
        </w:rPr>
        <w:t xml:space="preserve">, vol 34, no. 3, 227-262. </w:t>
      </w:r>
    </w:p>
    <w:p w:rsidR="009E2E4D" w:rsidRPr="009E2E4D" w:rsidRDefault="009E2E4D" w:rsidP="00790EC0">
      <w:pPr>
        <w:spacing w:after="0" w:line="240" w:lineRule="auto"/>
        <w:jc w:val="both"/>
        <w:rPr>
          <w:rFonts w:ascii="Times New Roman" w:hAnsi="Times New Roman"/>
          <w:sz w:val="24"/>
          <w:szCs w:val="24"/>
          <w:lang w:val="en-CA"/>
        </w:rPr>
      </w:pPr>
      <w:r>
        <w:rPr>
          <w:rFonts w:ascii="Times New Roman" w:hAnsi="Times New Roman"/>
          <w:sz w:val="24"/>
          <w:szCs w:val="24"/>
          <w:lang w:val="en-CA"/>
        </w:rPr>
        <w:t xml:space="preserve">Vliet, Olaf v. (2010), Divergences within Convergence: Europeanization of Social and Labour Market Policies, </w:t>
      </w:r>
      <w:r>
        <w:rPr>
          <w:rFonts w:ascii="Times New Roman" w:hAnsi="Times New Roman"/>
          <w:i/>
          <w:sz w:val="24"/>
          <w:szCs w:val="24"/>
          <w:lang w:val="en-CA"/>
        </w:rPr>
        <w:t>Journal of European Integration</w:t>
      </w:r>
      <w:r>
        <w:rPr>
          <w:rFonts w:ascii="Times New Roman" w:hAnsi="Times New Roman"/>
          <w:sz w:val="24"/>
          <w:szCs w:val="24"/>
          <w:lang w:val="en-CA"/>
        </w:rPr>
        <w:t>, vol. 32:3, pp. 269-290.</w:t>
      </w:r>
    </w:p>
    <w:p w:rsidR="00915A58" w:rsidRDefault="00915A58" w:rsidP="00790EC0">
      <w:pPr>
        <w:spacing w:after="0" w:line="240" w:lineRule="auto"/>
        <w:jc w:val="both"/>
        <w:rPr>
          <w:rFonts w:ascii="Times New Roman" w:hAnsi="Times New Roman"/>
          <w:sz w:val="24"/>
          <w:szCs w:val="24"/>
          <w:lang w:val="en-CA"/>
        </w:rPr>
      </w:pPr>
      <w:r w:rsidRPr="00FB4DD8">
        <w:rPr>
          <w:rFonts w:ascii="Times New Roman" w:hAnsi="Times New Roman"/>
          <w:sz w:val="24"/>
          <w:szCs w:val="24"/>
          <w:lang w:val="en-CA"/>
        </w:rPr>
        <w:t>Wessels, Wolfgang and Monar, Jørg (eds.) (2001), The European Union after the Treaty of Amsterdam. New York, Continuum.</w:t>
      </w:r>
    </w:p>
    <w:p w:rsidR="00E30F0B" w:rsidRDefault="00E30F0B" w:rsidP="00790EC0">
      <w:pPr>
        <w:spacing w:after="0" w:line="240" w:lineRule="auto"/>
        <w:jc w:val="both"/>
        <w:rPr>
          <w:rFonts w:ascii="Times New Roman" w:hAnsi="Times New Roman"/>
          <w:sz w:val="24"/>
          <w:szCs w:val="24"/>
          <w:lang w:val="en-US"/>
        </w:rPr>
      </w:pPr>
      <w:r w:rsidRPr="00E30F0B">
        <w:rPr>
          <w:rFonts w:ascii="Times New Roman" w:hAnsi="Times New Roman"/>
          <w:sz w:val="24"/>
          <w:szCs w:val="24"/>
          <w:lang w:val="en-US"/>
        </w:rPr>
        <w:t>Yin, Robert K.</w:t>
      </w:r>
      <w:r>
        <w:rPr>
          <w:rFonts w:ascii="Times New Roman" w:hAnsi="Times New Roman"/>
          <w:sz w:val="24"/>
          <w:szCs w:val="24"/>
          <w:lang w:val="en-US"/>
        </w:rPr>
        <w:t xml:space="preserve"> (2013)</w:t>
      </w:r>
      <w:r>
        <w:rPr>
          <w:rFonts w:ascii="Times New Roman" w:hAnsi="Times New Roman"/>
          <w:sz w:val="24"/>
          <w:szCs w:val="24"/>
          <w:lang w:val="en-CA"/>
        </w:rPr>
        <w:t xml:space="preserve">, </w:t>
      </w:r>
      <w:r w:rsidRPr="00E30F0B">
        <w:rPr>
          <w:rFonts w:ascii="Times New Roman" w:hAnsi="Times New Roman"/>
          <w:sz w:val="24"/>
          <w:szCs w:val="24"/>
          <w:lang w:val="en-US"/>
        </w:rPr>
        <w:t>Case Study Research: Design an</w:t>
      </w:r>
      <w:r>
        <w:rPr>
          <w:rFonts w:ascii="Times New Roman" w:hAnsi="Times New Roman"/>
          <w:sz w:val="24"/>
          <w:szCs w:val="24"/>
          <w:lang w:val="en-US"/>
        </w:rPr>
        <w:t>d Methods, 5</w:t>
      </w:r>
      <w:r w:rsidRPr="00E30F0B">
        <w:rPr>
          <w:rFonts w:ascii="Times New Roman" w:hAnsi="Times New Roman"/>
          <w:sz w:val="24"/>
          <w:szCs w:val="24"/>
          <w:vertAlign w:val="superscript"/>
          <w:lang w:val="en-US"/>
        </w:rPr>
        <w:t>th</w:t>
      </w:r>
      <w:r>
        <w:rPr>
          <w:rFonts w:ascii="Times New Roman" w:hAnsi="Times New Roman"/>
          <w:sz w:val="24"/>
          <w:szCs w:val="24"/>
          <w:lang w:val="en-US"/>
        </w:rPr>
        <w:t xml:space="preserve"> Edition. London, Sage.</w:t>
      </w:r>
    </w:p>
    <w:p w:rsidR="009725D3" w:rsidRDefault="009725D3" w:rsidP="00790EC0">
      <w:pPr>
        <w:spacing w:after="0" w:line="240" w:lineRule="auto"/>
        <w:jc w:val="both"/>
        <w:rPr>
          <w:rFonts w:ascii="Times New Roman" w:hAnsi="Times New Roman"/>
          <w:sz w:val="24"/>
          <w:szCs w:val="24"/>
          <w:lang w:val="en-US"/>
        </w:rPr>
      </w:pPr>
    </w:p>
    <w:p w:rsidR="009725D3" w:rsidRDefault="009725D3" w:rsidP="00790EC0">
      <w:pPr>
        <w:spacing w:after="0" w:line="240" w:lineRule="auto"/>
        <w:jc w:val="both"/>
        <w:rPr>
          <w:rFonts w:ascii="Times New Roman" w:eastAsia="Times New Roman" w:hAnsi="Times New Roman"/>
          <w:sz w:val="24"/>
          <w:szCs w:val="24"/>
          <w:lang w:val="en-US" w:eastAsia="de-DE"/>
        </w:rPr>
      </w:pPr>
    </w:p>
    <w:p w:rsidR="009725D3" w:rsidRPr="00E30F0B" w:rsidRDefault="009725D3" w:rsidP="00790EC0">
      <w:pPr>
        <w:spacing w:after="0" w:line="240" w:lineRule="auto"/>
        <w:jc w:val="both"/>
        <w:rPr>
          <w:rFonts w:ascii="Times New Roman" w:hAnsi="Times New Roman"/>
          <w:sz w:val="24"/>
          <w:szCs w:val="24"/>
          <w:lang w:val="en-CA"/>
        </w:rPr>
      </w:pPr>
    </w:p>
    <w:p w:rsidR="00D27056" w:rsidRDefault="00D27056">
      <w:pPr>
        <w:spacing w:after="0" w:line="240" w:lineRule="auto"/>
        <w:rPr>
          <w:rFonts w:ascii="Times New Roman" w:hAnsi="Times New Roman"/>
          <w:sz w:val="24"/>
          <w:szCs w:val="24"/>
          <w:lang w:val="en-CA"/>
        </w:rPr>
      </w:pPr>
      <w:r>
        <w:rPr>
          <w:rFonts w:ascii="Times New Roman" w:hAnsi="Times New Roman"/>
          <w:sz w:val="24"/>
          <w:szCs w:val="24"/>
          <w:lang w:val="en-CA"/>
        </w:rPr>
        <w:br w:type="page"/>
      </w:r>
    </w:p>
    <w:p w:rsidR="00D27056" w:rsidRDefault="00D27056" w:rsidP="00D27056">
      <w:pPr>
        <w:spacing w:line="240" w:lineRule="auto"/>
        <w:jc w:val="both"/>
        <w:rPr>
          <w:rFonts w:ascii="Times New Roman" w:hAnsi="Times New Roman"/>
          <w:sz w:val="24"/>
          <w:szCs w:val="24"/>
          <w:lang w:val="en-CA"/>
        </w:rPr>
      </w:pPr>
      <w:r>
        <w:rPr>
          <w:rFonts w:ascii="Times New Roman" w:hAnsi="Times New Roman"/>
          <w:sz w:val="24"/>
          <w:szCs w:val="24"/>
          <w:lang w:val="en-CA"/>
        </w:rPr>
        <w:lastRenderedPageBreak/>
        <w:t>Bent Greve, professor</w:t>
      </w:r>
    </w:p>
    <w:p w:rsidR="00D27056" w:rsidRDefault="00D27056" w:rsidP="00D27056">
      <w:pPr>
        <w:spacing w:line="240" w:lineRule="auto"/>
        <w:jc w:val="both"/>
        <w:rPr>
          <w:rFonts w:ascii="Times New Roman" w:hAnsi="Times New Roman"/>
          <w:sz w:val="24"/>
          <w:szCs w:val="24"/>
          <w:lang w:val="en-CA"/>
        </w:rPr>
      </w:pPr>
      <w:r>
        <w:rPr>
          <w:rFonts w:ascii="Times New Roman" w:hAnsi="Times New Roman"/>
          <w:sz w:val="24"/>
          <w:szCs w:val="24"/>
          <w:lang w:val="en-CA"/>
        </w:rPr>
        <w:t>Department of Society and Globalisation,</w:t>
      </w:r>
    </w:p>
    <w:p w:rsidR="00D27056" w:rsidRDefault="00D27056" w:rsidP="00D27056">
      <w:pPr>
        <w:spacing w:line="240" w:lineRule="auto"/>
        <w:jc w:val="both"/>
        <w:rPr>
          <w:rFonts w:ascii="Times New Roman" w:hAnsi="Times New Roman"/>
          <w:sz w:val="24"/>
          <w:szCs w:val="24"/>
          <w:lang w:val="en-CA"/>
        </w:rPr>
      </w:pPr>
      <w:r>
        <w:rPr>
          <w:rFonts w:ascii="Times New Roman" w:hAnsi="Times New Roman"/>
          <w:sz w:val="24"/>
          <w:szCs w:val="24"/>
          <w:lang w:val="en-CA"/>
        </w:rPr>
        <w:t>University of Roskilde, Denmark</w:t>
      </w:r>
    </w:p>
    <w:p w:rsidR="00D27056" w:rsidRDefault="00C50529" w:rsidP="00D27056">
      <w:pPr>
        <w:spacing w:line="240" w:lineRule="auto"/>
        <w:jc w:val="both"/>
        <w:rPr>
          <w:rFonts w:ascii="Times New Roman" w:hAnsi="Times New Roman"/>
          <w:sz w:val="24"/>
          <w:szCs w:val="24"/>
          <w:lang w:val="en-CA"/>
        </w:rPr>
      </w:pPr>
      <w:hyperlink r:id="rId10" w:history="1">
        <w:r w:rsidR="00D27056" w:rsidRPr="002D7CB1">
          <w:rPr>
            <w:rStyle w:val="Hyperlink"/>
            <w:rFonts w:ascii="Times New Roman" w:hAnsi="Times New Roman"/>
            <w:sz w:val="24"/>
            <w:szCs w:val="24"/>
            <w:lang w:val="en-CA"/>
          </w:rPr>
          <w:t>bgr@ruc.dk</w:t>
        </w:r>
      </w:hyperlink>
    </w:p>
    <w:p w:rsidR="00E30F0B" w:rsidRDefault="00E30F0B" w:rsidP="00790EC0">
      <w:pPr>
        <w:spacing w:line="240" w:lineRule="auto"/>
        <w:jc w:val="both"/>
        <w:rPr>
          <w:rFonts w:ascii="Times New Roman" w:hAnsi="Times New Roman"/>
          <w:sz w:val="24"/>
          <w:szCs w:val="24"/>
          <w:lang w:val="en-CA"/>
        </w:rPr>
      </w:pPr>
    </w:p>
    <w:p w:rsidR="00D27056" w:rsidRPr="00D27056" w:rsidRDefault="00D27056" w:rsidP="00D27056">
      <w:pPr>
        <w:spacing w:line="240" w:lineRule="auto"/>
        <w:jc w:val="both"/>
        <w:rPr>
          <w:rFonts w:ascii="Times New Roman" w:hAnsi="Times New Roman"/>
          <w:sz w:val="24"/>
          <w:szCs w:val="24"/>
          <w:lang w:val="en-US"/>
        </w:rPr>
      </w:pPr>
      <w:r w:rsidRPr="00D27056">
        <w:rPr>
          <w:rFonts w:ascii="Times New Roman" w:hAnsi="Times New Roman"/>
          <w:sz w:val="24"/>
          <w:szCs w:val="24"/>
          <w:lang w:val="en-US"/>
        </w:rPr>
        <w:t>Bent Greve is Professor in Social Science with an emphasis on welfare state analysis at the University of Roskilde, Denmark. His research interest focuses on the welfare state, and social and labour market policy, often from a comparative perspective. He has published extensively on social and labour market policy, social security, tax expenditures, public sector expenditures and financing of the welfare state. He is regional and special issues editor of Social Policy &amp; Administration. Recent books include Routledge Handbook of the Welfare State (2013), The times they are changing (2012), Happiness (2011), Choice (2010), Social Policy and Happiness in Europe (2019) and Occupational welfare (2007).</w:t>
      </w:r>
    </w:p>
    <w:p w:rsidR="00D27056" w:rsidRDefault="00D27056" w:rsidP="00790EC0">
      <w:pPr>
        <w:spacing w:line="240" w:lineRule="auto"/>
        <w:jc w:val="both"/>
        <w:rPr>
          <w:rFonts w:ascii="Times New Roman" w:hAnsi="Times New Roman"/>
          <w:sz w:val="24"/>
          <w:szCs w:val="24"/>
          <w:lang w:val="en-CA"/>
        </w:rPr>
      </w:pPr>
    </w:p>
    <w:p w:rsidR="00D27056" w:rsidRPr="00FB4DD8" w:rsidRDefault="00D27056" w:rsidP="00790EC0">
      <w:pPr>
        <w:spacing w:line="240" w:lineRule="auto"/>
        <w:jc w:val="both"/>
        <w:rPr>
          <w:rFonts w:ascii="Times New Roman" w:hAnsi="Times New Roman"/>
          <w:sz w:val="24"/>
          <w:szCs w:val="24"/>
          <w:lang w:val="en-CA"/>
        </w:rPr>
      </w:pPr>
      <w:r w:rsidRPr="00D27056">
        <w:rPr>
          <w:rFonts w:ascii="Times New Roman" w:hAnsi="Times New Roman"/>
          <w:sz w:val="24"/>
          <w:szCs w:val="24"/>
          <w:lang w:val="en-CA"/>
        </w:rPr>
        <w:t>http://forskning.ruc.dk/site/person/bgr/</w:t>
      </w:r>
    </w:p>
    <w:sectPr w:rsidR="00D27056" w:rsidRPr="00FB4DD8" w:rsidSect="00237118">
      <w:footerReference w:type="even" r:id="rId11"/>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529" w:rsidRDefault="00C50529">
      <w:r>
        <w:separator/>
      </w:r>
    </w:p>
  </w:endnote>
  <w:endnote w:type="continuationSeparator" w:id="0">
    <w:p w:rsidR="00C50529" w:rsidRDefault="00C5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PMincho"/>
    <w:charset w:val="8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E1F" w:rsidRDefault="00FD6586" w:rsidP="0054066A">
    <w:pPr>
      <w:pStyle w:val="Sidefod"/>
      <w:framePr w:wrap="around" w:vAnchor="text" w:hAnchor="margin" w:xAlign="right" w:y="1"/>
      <w:rPr>
        <w:rStyle w:val="Sidetal"/>
      </w:rPr>
    </w:pPr>
    <w:r>
      <w:rPr>
        <w:rStyle w:val="Sidetal"/>
      </w:rPr>
      <w:fldChar w:fldCharType="begin"/>
    </w:r>
    <w:r w:rsidR="004E2E1F">
      <w:rPr>
        <w:rStyle w:val="Sidetal"/>
      </w:rPr>
      <w:instrText xml:space="preserve">PAGE  </w:instrText>
    </w:r>
    <w:r>
      <w:rPr>
        <w:rStyle w:val="Sidetal"/>
      </w:rPr>
      <w:fldChar w:fldCharType="end"/>
    </w:r>
  </w:p>
  <w:p w:rsidR="004E2E1F" w:rsidRDefault="004E2E1F" w:rsidP="00543E6D">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E1F" w:rsidRDefault="00FD6586" w:rsidP="0054066A">
    <w:pPr>
      <w:pStyle w:val="Sidefod"/>
      <w:framePr w:wrap="around" w:vAnchor="text" w:hAnchor="margin" w:xAlign="right" w:y="1"/>
      <w:rPr>
        <w:rStyle w:val="Sidetal"/>
      </w:rPr>
    </w:pPr>
    <w:r>
      <w:rPr>
        <w:rStyle w:val="Sidetal"/>
      </w:rPr>
      <w:fldChar w:fldCharType="begin"/>
    </w:r>
    <w:r w:rsidR="004E2E1F">
      <w:rPr>
        <w:rStyle w:val="Sidetal"/>
      </w:rPr>
      <w:instrText xml:space="preserve">PAGE  </w:instrText>
    </w:r>
    <w:r>
      <w:rPr>
        <w:rStyle w:val="Sidetal"/>
      </w:rPr>
      <w:fldChar w:fldCharType="separate"/>
    </w:r>
    <w:r w:rsidR="008C303F">
      <w:rPr>
        <w:rStyle w:val="Sidetal"/>
        <w:noProof/>
      </w:rPr>
      <w:t>1</w:t>
    </w:r>
    <w:r>
      <w:rPr>
        <w:rStyle w:val="Sidetal"/>
      </w:rPr>
      <w:fldChar w:fldCharType="end"/>
    </w:r>
  </w:p>
  <w:p w:rsidR="004E2E1F" w:rsidRDefault="004E2E1F" w:rsidP="00543E6D">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529" w:rsidRDefault="00C50529">
      <w:r>
        <w:separator/>
      </w:r>
    </w:p>
  </w:footnote>
  <w:footnote w:type="continuationSeparator" w:id="0">
    <w:p w:rsidR="00C50529" w:rsidRDefault="00C50529">
      <w:r>
        <w:continuationSeparator/>
      </w:r>
    </w:p>
  </w:footnote>
  <w:footnote w:id="1">
    <w:p w:rsidR="00ED554A" w:rsidRPr="00D713DC" w:rsidRDefault="00ED554A">
      <w:pPr>
        <w:pStyle w:val="Fodnotetekst"/>
        <w:rPr>
          <w:lang w:val="en-US"/>
        </w:rPr>
      </w:pPr>
      <w:r>
        <w:rPr>
          <w:rStyle w:val="Fodnotehenvisning"/>
        </w:rPr>
        <w:footnoteRef/>
      </w:r>
      <w:r>
        <w:t xml:space="preserve"> </w:t>
      </w:r>
      <w:r w:rsidRPr="00D713DC">
        <w:rPr>
          <w:lang w:val="en-US"/>
        </w:rPr>
        <w:t>Cf. For example, as an overview Special Issue on 50 Years of European Social Security Coordination.</w:t>
      </w:r>
      <w:r w:rsidR="00D306F5">
        <w:rPr>
          <w:lang w:val="en-US"/>
        </w:rPr>
        <w:t xml:space="preserve"> European Journal of Social Security, no. 1-2, 2009</w:t>
      </w:r>
    </w:p>
  </w:footnote>
  <w:footnote w:id="2">
    <w:p w:rsidR="005D53C3" w:rsidRPr="00B33F11" w:rsidRDefault="005D53C3">
      <w:pPr>
        <w:pStyle w:val="Fodnotetekst"/>
        <w:rPr>
          <w:lang w:val="en-US"/>
        </w:rPr>
      </w:pPr>
      <w:r>
        <w:rPr>
          <w:rStyle w:val="Fodnotehenvisning"/>
        </w:rPr>
        <w:footnoteRef/>
      </w:r>
      <w:r w:rsidRPr="005D53C3">
        <w:rPr>
          <w:lang w:val="da-DK"/>
        </w:rPr>
        <w:t xml:space="preserve"> </w:t>
      </w:r>
      <w:r>
        <w:rPr>
          <w:lang w:val="da-DK"/>
        </w:rPr>
        <w:t xml:space="preserve">Forslag til Lov om Ændring af lov om en børnefamilieydelse og lov om børnetilskud og forskudsvis udbetaling af børnebidrag. </w:t>
      </w:r>
      <w:r w:rsidRPr="00B33F11">
        <w:rPr>
          <w:lang w:val="en-US"/>
        </w:rPr>
        <w:t>Fremsat den 17. november 2010 af skatteministeren.</w:t>
      </w:r>
    </w:p>
  </w:footnote>
  <w:footnote w:id="3">
    <w:p w:rsidR="00684091" w:rsidRPr="00684091" w:rsidRDefault="00684091">
      <w:pPr>
        <w:pStyle w:val="Fodnotetekst"/>
        <w:rPr>
          <w:lang w:val="en-US"/>
        </w:rPr>
      </w:pPr>
      <w:r>
        <w:rPr>
          <w:rStyle w:val="Fodnotehenvisning"/>
        </w:rPr>
        <w:footnoteRef/>
      </w:r>
      <w:r w:rsidRPr="00684091">
        <w:rPr>
          <w:lang w:val="en-US"/>
        </w:rPr>
        <w:t xml:space="preserve"> My translation based upon press-information from the Ministry of Taxation on the 18th of June, 2013 (</w:t>
      </w:r>
      <w:hyperlink r:id="rId1" w:history="1">
        <w:r w:rsidRPr="00EB2416">
          <w:rPr>
            <w:rStyle w:val="Hyperlink"/>
            <w:lang w:val="en-US"/>
          </w:rPr>
          <w:t>www.skm.dk/presse/presse/pressemeddelelser/9648.html</w:t>
        </w:r>
      </w:hyperlink>
      <w:r>
        <w:rPr>
          <w:lang w:val="en-US"/>
        </w:rPr>
        <w:t xml:space="preserve">).  </w:t>
      </w:r>
    </w:p>
  </w:footnote>
  <w:footnote w:id="4">
    <w:p w:rsidR="00684091" w:rsidRPr="00684091" w:rsidRDefault="00684091">
      <w:pPr>
        <w:pStyle w:val="Fodnotetekst"/>
        <w:rPr>
          <w:lang w:val="en-US"/>
        </w:rPr>
      </w:pPr>
      <w:r>
        <w:rPr>
          <w:rStyle w:val="Fodnotehenvisning"/>
        </w:rPr>
        <w:footnoteRef/>
      </w:r>
      <w:r w:rsidRPr="00684091">
        <w:rPr>
          <w:lang w:val="en-US"/>
        </w:rPr>
        <w:t xml:space="preserve"> It has not been possible to get the letter from the commission to see the more detailed arguments.</w:t>
      </w:r>
    </w:p>
  </w:footnote>
  <w:footnote w:id="5">
    <w:p w:rsidR="00D065DD" w:rsidRPr="00D065DD" w:rsidRDefault="00D065DD">
      <w:pPr>
        <w:pStyle w:val="Fodnotetekst"/>
        <w:rPr>
          <w:lang w:val="en-US"/>
        </w:rPr>
      </w:pPr>
      <w:r>
        <w:rPr>
          <w:rStyle w:val="Fodnotehenvisning"/>
        </w:rPr>
        <w:footnoteRef/>
      </w:r>
      <w:r w:rsidRPr="00D065DD">
        <w:rPr>
          <w:lang w:val="en-US"/>
        </w:rPr>
        <w:t xml:space="preserve"> The data are based on estimates from a think tank called Kraka.</w:t>
      </w:r>
    </w:p>
  </w:footnote>
  <w:footnote w:id="6">
    <w:p w:rsidR="004C21B2" w:rsidRPr="004C21B2" w:rsidRDefault="004C21B2">
      <w:pPr>
        <w:pStyle w:val="Fodnotetekst"/>
        <w:rPr>
          <w:lang w:val="da-DK"/>
        </w:rPr>
      </w:pPr>
      <w:r>
        <w:rPr>
          <w:rStyle w:val="Fodnotehenvisning"/>
        </w:rPr>
        <w:footnoteRef/>
      </w:r>
      <w:r w:rsidRPr="004C21B2">
        <w:rPr>
          <w:lang w:val="da-DK"/>
        </w:rPr>
        <w:t xml:space="preserve"> </w:t>
      </w:r>
      <w:r>
        <w:rPr>
          <w:lang w:val="da-DK"/>
        </w:rPr>
        <w:t>L.N., mod Styrelsen for Videregående Uddannelser og Uddannelsesstøtte</w:t>
      </w:r>
      <w:r w:rsidR="007A3050">
        <w:rPr>
          <w:lang w:val="da-DK"/>
        </w:rPr>
        <w:t xml:space="preserve"> (C-46/12,LN)</w:t>
      </w:r>
      <w:r>
        <w:rPr>
          <w:lang w:val="da-DK"/>
        </w:rPr>
        <w:t>.</w:t>
      </w:r>
    </w:p>
  </w:footnote>
  <w:footnote w:id="7">
    <w:p w:rsidR="00976692" w:rsidRPr="00976692" w:rsidRDefault="00976692">
      <w:pPr>
        <w:pStyle w:val="Fodnotetekst"/>
        <w:rPr>
          <w:lang w:val="en-US"/>
        </w:rPr>
      </w:pPr>
      <w:r>
        <w:rPr>
          <w:rStyle w:val="Fodnotehenvisning"/>
        </w:rPr>
        <w:footnoteRef/>
      </w:r>
      <w:r>
        <w:t xml:space="preserve"> </w:t>
      </w:r>
      <w:r w:rsidRPr="00976692">
        <w:rPr>
          <w:lang w:val="en-US"/>
        </w:rPr>
        <w:t>This was confirmed by court ruling on the 18th of July, 2013.</w:t>
      </w:r>
    </w:p>
  </w:footnote>
  <w:footnote w:id="8">
    <w:p w:rsidR="00976692" w:rsidRPr="00976692" w:rsidRDefault="00976692">
      <w:pPr>
        <w:pStyle w:val="Fodnotetekst"/>
        <w:rPr>
          <w:lang w:val="en-US"/>
        </w:rPr>
      </w:pPr>
      <w:r>
        <w:rPr>
          <w:rStyle w:val="Fodnotehenvisning"/>
        </w:rPr>
        <w:footnoteRef/>
      </w:r>
      <w:r>
        <w:t xml:space="preserve"> </w:t>
      </w:r>
      <w:r w:rsidRPr="00976692">
        <w:rPr>
          <w:lang w:val="en-US"/>
        </w:rPr>
        <w:t>In another area, albeit only implicit related to the above-mentioned, the commission has on the 26th of April, 2013 in a letter (SG-Greffe(2013)D/5810) argued according to the Danish Ministry of Foreign Affairs</w:t>
      </w:r>
      <w:r>
        <w:rPr>
          <w:lang w:val="en-US"/>
        </w:rPr>
        <w:t xml:space="preserve"> that reduction of the Danish threshold for paying tax cannot be reduced if a person is working in both Denmark and another member state.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E42536"/>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9DD0B188"/>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08C83084"/>
    <w:lvl w:ilvl="0">
      <w:start w:val="1"/>
      <w:numFmt w:val="decimal"/>
      <w:lvlText w:val="%1."/>
      <w:lvlJc w:val="left"/>
      <w:pPr>
        <w:tabs>
          <w:tab w:val="num" w:pos="643"/>
        </w:tabs>
        <w:ind w:left="643" w:hanging="360"/>
      </w:pPr>
      <w:rPr>
        <w:rFonts w:cs="Times New Roman"/>
      </w:rPr>
    </w:lvl>
  </w:abstractNum>
  <w:abstractNum w:abstractNumId="3">
    <w:nsid w:val="FFFFFF80"/>
    <w:multiLevelType w:val="singleLevel"/>
    <w:tmpl w:val="A3300794"/>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2E2238A4"/>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8B3E5FAC"/>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3A0C4A32"/>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1F848524"/>
    <w:lvl w:ilvl="0">
      <w:start w:val="1"/>
      <w:numFmt w:val="decimal"/>
      <w:lvlText w:val="%1."/>
      <w:lvlJc w:val="left"/>
      <w:pPr>
        <w:tabs>
          <w:tab w:val="num" w:pos="360"/>
        </w:tabs>
        <w:ind w:left="360" w:hanging="360"/>
      </w:pPr>
      <w:rPr>
        <w:rFonts w:cs="Times New Roman"/>
      </w:rPr>
    </w:lvl>
  </w:abstractNum>
  <w:abstractNum w:abstractNumId="8">
    <w:nsid w:val="FFFFFF89"/>
    <w:multiLevelType w:val="singleLevel"/>
    <w:tmpl w:val="21669472"/>
    <w:lvl w:ilvl="0">
      <w:start w:val="1"/>
      <w:numFmt w:val="bullet"/>
      <w:lvlText w:val=""/>
      <w:lvlJc w:val="left"/>
      <w:pPr>
        <w:tabs>
          <w:tab w:val="num" w:pos="360"/>
        </w:tabs>
        <w:ind w:left="360" w:hanging="360"/>
      </w:pPr>
      <w:rPr>
        <w:rFonts w:ascii="Symbol" w:hAnsi="Symbol" w:hint="default"/>
      </w:rPr>
    </w:lvl>
  </w:abstractNum>
  <w:abstractNum w:abstractNumId="9">
    <w:nsid w:val="0AA50C2A"/>
    <w:multiLevelType w:val="hybridMultilevel"/>
    <w:tmpl w:val="6614AD88"/>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0">
    <w:nsid w:val="15633BF6"/>
    <w:multiLevelType w:val="multilevel"/>
    <w:tmpl w:val="F596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0D"/>
    <w:rsid w:val="00003944"/>
    <w:rsid w:val="0001051A"/>
    <w:rsid w:val="00014A5E"/>
    <w:rsid w:val="00016CD4"/>
    <w:rsid w:val="000176E8"/>
    <w:rsid w:val="00020528"/>
    <w:rsid w:val="00024E71"/>
    <w:rsid w:val="00025457"/>
    <w:rsid w:val="00040E7B"/>
    <w:rsid w:val="00044CF4"/>
    <w:rsid w:val="00045F3A"/>
    <w:rsid w:val="0005067D"/>
    <w:rsid w:val="00051A2F"/>
    <w:rsid w:val="00051E53"/>
    <w:rsid w:val="000572C3"/>
    <w:rsid w:val="000675CB"/>
    <w:rsid w:val="000726FD"/>
    <w:rsid w:val="0007354D"/>
    <w:rsid w:val="00073760"/>
    <w:rsid w:val="00075990"/>
    <w:rsid w:val="00083965"/>
    <w:rsid w:val="000939A4"/>
    <w:rsid w:val="00095664"/>
    <w:rsid w:val="000A2643"/>
    <w:rsid w:val="000A5D64"/>
    <w:rsid w:val="000A5E12"/>
    <w:rsid w:val="000B03BB"/>
    <w:rsid w:val="000B2221"/>
    <w:rsid w:val="000B3C5B"/>
    <w:rsid w:val="000C1AC4"/>
    <w:rsid w:val="000C792E"/>
    <w:rsid w:val="000D3603"/>
    <w:rsid w:val="000D79AD"/>
    <w:rsid w:val="000E201E"/>
    <w:rsid w:val="000E33AF"/>
    <w:rsid w:val="000F021D"/>
    <w:rsid w:val="000F2858"/>
    <w:rsid w:val="000F3A26"/>
    <w:rsid w:val="001056C7"/>
    <w:rsid w:val="0010616D"/>
    <w:rsid w:val="00111841"/>
    <w:rsid w:val="00111BAE"/>
    <w:rsid w:val="001206FD"/>
    <w:rsid w:val="00123D5E"/>
    <w:rsid w:val="00127358"/>
    <w:rsid w:val="00132DE4"/>
    <w:rsid w:val="001331F5"/>
    <w:rsid w:val="00133A7C"/>
    <w:rsid w:val="0013592F"/>
    <w:rsid w:val="00140C2C"/>
    <w:rsid w:val="00145912"/>
    <w:rsid w:val="0014633E"/>
    <w:rsid w:val="00160D99"/>
    <w:rsid w:val="00162295"/>
    <w:rsid w:val="00164935"/>
    <w:rsid w:val="00165BCD"/>
    <w:rsid w:val="00167FF5"/>
    <w:rsid w:val="001715AA"/>
    <w:rsid w:val="00171CC9"/>
    <w:rsid w:val="0017780C"/>
    <w:rsid w:val="00177C96"/>
    <w:rsid w:val="001800B8"/>
    <w:rsid w:val="00181D5C"/>
    <w:rsid w:val="00182863"/>
    <w:rsid w:val="00190EAD"/>
    <w:rsid w:val="001A1B1D"/>
    <w:rsid w:val="001A77AE"/>
    <w:rsid w:val="001B6462"/>
    <w:rsid w:val="001C645E"/>
    <w:rsid w:val="001D042C"/>
    <w:rsid w:val="001D3ED4"/>
    <w:rsid w:val="001D687E"/>
    <w:rsid w:val="001D7BA6"/>
    <w:rsid w:val="001E13A3"/>
    <w:rsid w:val="001E2699"/>
    <w:rsid w:val="001E3059"/>
    <w:rsid w:val="001E38D6"/>
    <w:rsid w:val="001E5A62"/>
    <w:rsid w:val="001F0378"/>
    <w:rsid w:val="001F3C91"/>
    <w:rsid w:val="001F5F22"/>
    <w:rsid w:val="001F752F"/>
    <w:rsid w:val="001F7CE0"/>
    <w:rsid w:val="00201349"/>
    <w:rsid w:val="002020F0"/>
    <w:rsid w:val="00202231"/>
    <w:rsid w:val="00202F23"/>
    <w:rsid w:val="00210EC4"/>
    <w:rsid w:val="00216831"/>
    <w:rsid w:val="00220C2C"/>
    <w:rsid w:val="00222678"/>
    <w:rsid w:val="00224A26"/>
    <w:rsid w:val="0022510C"/>
    <w:rsid w:val="002311E7"/>
    <w:rsid w:val="0023462F"/>
    <w:rsid w:val="00235743"/>
    <w:rsid w:val="002359B5"/>
    <w:rsid w:val="00236BC6"/>
    <w:rsid w:val="00237118"/>
    <w:rsid w:val="0024007F"/>
    <w:rsid w:val="00243B77"/>
    <w:rsid w:val="002507E3"/>
    <w:rsid w:val="002516C4"/>
    <w:rsid w:val="00254913"/>
    <w:rsid w:val="00256015"/>
    <w:rsid w:val="0025773A"/>
    <w:rsid w:val="002734A1"/>
    <w:rsid w:val="0027469B"/>
    <w:rsid w:val="00281A4D"/>
    <w:rsid w:val="002826AB"/>
    <w:rsid w:val="00285B62"/>
    <w:rsid w:val="00286603"/>
    <w:rsid w:val="002935EA"/>
    <w:rsid w:val="00296C57"/>
    <w:rsid w:val="00297186"/>
    <w:rsid w:val="00297FA9"/>
    <w:rsid w:val="002A007B"/>
    <w:rsid w:val="002A0AF2"/>
    <w:rsid w:val="002A0CDE"/>
    <w:rsid w:val="002A65FA"/>
    <w:rsid w:val="002A6633"/>
    <w:rsid w:val="002A6C9D"/>
    <w:rsid w:val="002B115D"/>
    <w:rsid w:val="002C202B"/>
    <w:rsid w:val="002C37FB"/>
    <w:rsid w:val="002C59E9"/>
    <w:rsid w:val="002C6A82"/>
    <w:rsid w:val="002D0829"/>
    <w:rsid w:val="002D1208"/>
    <w:rsid w:val="002D373A"/>
    <w:rsid w:val="002D445F"/>
    <w:rsid w:val="002D5FB5"/>
    <w:rsid w:val="002E1019"/>
    <w:rsid w:val="002E71C2"/>
    <w:rsid w:val="002F325F"/>
    <w:rsid w:val="00300C48"/>
    <w:rsid w:val="00310240"/>
    <w:rsid w:val="003246CC"/>
    <w:rsid w:val="0033032A"/>
    <w:rsid w:val="00334E06"/>
    <w:rsid w:val="00334F59"/>
    <w:rsid w:val="0034623F"/>
    <w:rsid w:val="003477A6"/>
    <w:rsid w:val="003502E5"/>
    <w:rsid w:val="00350E29"/>
    <w:rsid w:val="00354FC7"/>
    <w:rsid w:val="003575AD"/>
    <w:rsid w:val="003577BB"/>
    <w:rsid w:val="00364998"/>
    <w:rsid w:val="00364E1B"/>
    <w:rsid w:val="0036776C"/>
    <w:rsid w:val="003715CE"/>
    <w:rsid w:val="00374556"/>
    <w:rsid w:val="003873F1"/>
    <w:rsid w:val="003A3CC6"/>
    <w:rsid w:val="003A3EE9"/>
    <w:rsid w:val="003A6F89"/>
    <w:rsid w:val="003A7BDB"/>
    <w:rsid w:val="003B1E6E"/>
    <w:rsid w:val="003B27D2"/>
    <w:rsid w:val="003B4E1F"/>
    <w:rsid w:val="003B55B1"/>
    <w:rsid w:val="003C25FD"/>
    <w:rsid w:val="003C3885"/>
    <w:rsid w:val="003C5B45"/>
    <w:rsid w:val="003D2187"/>
    <w:rsid w:val="003D4F63"/>
    <w:rsid w:val="003D58D2"/>
    <w:rsid w:val="003D64C3"/>
    <w:rsid w:val="003E2F2E"/>
    <w:rsid w:val="003E3C95"/>
    <w:rsid w:val="003E52A6"/>
    <w:rsid w:val="003E6705"/>
    <w:rsid w:val="003E7C14"/>
    <w:rsid w:val="003F2026"/>
    <w:rsid w:val="003F7488"/>
    <w:rsid w:val="00402E50"/>
    <w:rsid w:val="00404CC3"/>
    <w:rsid w:val="0040612B"/>
    <w:rsid w:val="00423B8D"/>
    <w:rsid w:val="00427B30"/>
    <w:rsid w:val="00445824"/>
    <w:rsid w:val="00446AC9"/>
    <w:rsid w:val="004513AA"/>
    <w:rsid w:val="00452193"/>
    <w:rsid w:val="0045717A"/>
    <w:rsid w:val="004657B4"/>
    <w:rsid w:val="00470678"/>
    <w:rsid w:val="0047099A"/>
    <w:rsid w:val="00472D64"/>
    <w:rsid w:val="00474053"/>
    <w:rsid w:val="004743E3"/>
    <w:rsid w:val="00476BCA"/>
    <w:rsid w:val="00480818"/>
    <w:rsid w:val="00492855"/>
    <w:rsid w:val="0049315F"/>
    <w:rsid w:val="004A0CB4"/>
    <w:rsid w:val="004A260D"/>
    <w:rsid w:val="004A6AE1"/>
    <w:rsid w:val="004C16E4"/>
    <w:rsid w:val="004C2088"/>
    <w:rsid w:val="004C21B2"/>
    <w:rsid w:val="004C6EB8"/>
    <w:rsid w:val="004D4B14"/>
    <w:rsid w:val="004D7370"/>
    <w:rsid w:val="004E0BCD"/>
    <w:rsid w:val="004E2E1F"/>
    <w:rsid w:val="004E35B2"/>
    <w:rsid w:val="004E6927"/>
    <w:rsid w:val="004E780C"/>
    <w:rsid w:val="004F5DD6"/>
    <w:rsid w:val="004F7E75"/>
    <w:rsid w:val="00500010"/>
    <w:rsid w:val="0050302A"/>
    <w:rsid w:val="005041D1"/>
    <w:rsid w:val="00504E69"/>
    <w:rsid w:val="00504E7F"/>
    <w:rsid w:val="0050782B"/>
    <w:rsid w:val="00515304"/>
    <w:rsid w:val="00520174"/>
    <w:rsid w:val="005210A2"/>
    <w:rsid w:val="0052146B"/>
    <w:rsid w:val="005226D8"/>
    <w:rsid w:val="00522FFE"/>
    <w:rsid w:val="00523093"/>
    <w:rsid w:val="005303A1"/>
    <w:rsid w:val="00530EF1"/>
    <w:rsid w:val="00531C6F"/>
    <w:rsid w:val="00534F2A"/>
    <w:rsid w:val="0054066A"/>
    <w:rsid w:val="005430BF"/>
    <w:rsid w:val="00543E6D"/>
    <w:rsid w:val="00545728"/>
    <w:rsid w:val="0054651B"/>
    <w:rsid w:val="00550ACA"/>
    <w:rsid w:val="00553164"/>
    <w:rsid w:val="00554A5A"/>
    <w:rsid w:val="005635FE"/>
    <w:rsid w:val="00563868"/>
    <w:rsid w:val="00567E7C"/>
    <w:rsid w:val="005734D9"/>
    <w:rsid w:val="00573A1A"/>
    <w:rsid w:val="00574A91"/>
    <w:rsid w:val="00575AF7"/>
    <w:rsid w:val="00577195"/>
    <w:rsid w:val="00582215"/>
    <w:rsid w:val="00592C01"/>
    <w:rsid w:val="005936F6"/>
    <w:rsid w:val="00593E8F"/>
    <w:rsid w:val="005A10C6"/>
    <w:rsid w:val="005A300B"/>
    <w:rsid w:val="005A4F62"/>
    <w:rsid w:val="005A7712"/>
    <w:rsid w:val="005A7A7D"/>
    <w:rsid w:val="005B1097"/>
    <w:rsid w:val="005B3084"/>
    <w:rsid w:val="005B4BCF"/>
    <w:rsid w:val="005B4DE5"/>
    <w:rsid w:val="005B60B9"/>
    <w:rsid w:val="005C12BA"/>
    <w:rsid w:val="005C242B"/>
    <w:rsid w:val="005C2620"/>
    <w:rsid w:val="005C7540"/>
    <w:rsid w:val="005D274E"/>
    <w:rsid w:val="005D53C3"/>
    <w:rsid w:val="005D71D8"/>
    <w:rsid w:val="005E1016"/>
    <w:rsid w:val="005E38F3"/>
    <w:rsid w:val="005F024E"/>
    <w:rsid w:val="005F5656"/>
    <w:rsid w:val="005F70DE"/>
    <w:rsid w:val="00601AFB"/>
    <w:rsid w:val="006023A4"/>
    <w:rsid w:val="00607C25"/>
    <w:rsid w:val="00607C8C"/>
    <w:rsid w:val="006102F6"/>
    <w:rsid w:val="00621A37"/>
    <w:rsid w:val="006253EE"/>
    <w:rsid w:val="006274DC"/>
    <w:rsid w:val="00627E12"/>
    <w:rsid w:val="00630D3A"/>
    <w:rsid w:val="00631B33"/>
    <w:rsid w:val="00642B97"/>
    <w:rsid w:val="00650769"/>
    <w:rsid w:val="0065138F"/>
    <w:rsid w:val="00653365"/>
    <w:rsid w:val="006550A3"/>
    <w:rsid w:val="0065748A"/>
    <w:rsid w:val="00660F50"/>
    <w:rsid w:val="00663874"/>
    <w:rsid w:val="0066598E"/>
    <w:rsid w:val="00666829"/>
    <w:rsid w:val="00675058"/>
    <w:rsid w:val="00675B40"/>
    <w:rsid w:val="00684091"/>
    <w:rsid w:val="00686724"/>
    <w:rsid w:val="00693B64"/>
    <w:rsid w:val="00695D4A"/>
    <w:rsid w:val="00696804"/>
    <w:rsid w:val="006A342D"/>
    <w:rsid w:val="006A3C27"/>
    <w:rsid w:val="006A5C64"/>
    <w:rsid w:val="006C0BEE"/>
    <w:rsid w:val="006C3408"/>
    <w:rsid w:val="006C5655"/>
    <w:rsid w:val="006D171A"/>
    <w:rsid w:val="006D3B46"/>
    <w:rsid w:val="006E1368"/>
    <w:rsid w:val="006F0BD7"/>
    <w:rsid w:val="006F6A6F"/>
    <w:rsid w:val="007003BC"/>
    <w:rsid w:val="007075CB"/>
    <w:rsid w:val="00715C3D"/>
    <w:rsid w:val="00716481"/>
    <w:rsid w:val="00717A29"/>
    <w:rsid w:val="00722100"/>
    <w:rsid w:val="00722D6E"/>
    <w:rsid w:val="0072356D"/>
    <w:rsid w:val="00726046"/>
    <w:rsid w:val="00727A58"/>
    <w:rsid w:val="007304BD"/>
    <w:rsid w:val="00730E43"/>
    <w:rsid w:val="00736C96"/>
    <w:rsid w:val="0074367A"/>
    <w:rsid w:val="0075719A"/>
    <w:rsid w:val="00757907"/>
    <w:rsid w:val="00761E98"/>
    <w:rsid w:val="00764616"/>
    <w:rsid w:val="00764BA0"/>
    <w:rsid w:val="007651D9"/>
    <w:rsid w:val="0076598B"/>
    <w:rsid w:val="007702C8"/>
    <w:rsid w:val="00770A98"/>
    <w:rsid w:val="00772D6B"/>
    <w:rsid w:val="00773E01"/>
    <w:rsid w:val="00775EE0"/>
    <w:rsid w:val="007866B7"/>
    <w:rsid w:val="00790EC0"/>
    <w:rsid w:val="00792ACC"/>
    <w:rsid w:val="007938FE"/>
    <w:rsid w:val="007959C4"/>
    <w:rsid w:val="00796F88"/>
    <w:rsid w:val="007A1ACE"/>
    <w:rsid w:val="007A3050"/>
    <w:rsid w:val="007A7A9D"/>
    <w:rsid w:val="007B6913"/>
    <w:rsid w:val="007C2B14"/>
    <w:rsid w:val="007C7D30"/>
    <w:rsid w:val="007D0DF2"/>
    <w:rsid w:val="007D14D7"/>
    <w:rsid w:val="007D3D8D"/>
    <w:rsid w:val="007D7831"/>
    <w:rsid w:val="007E255D"/>
    <w:rsid w:val="007E2811"/>
    <w:rsid w:val="007E43EB"/>
    <w:rsid w:val="007E4A81"/>
    <w:rsid w:val="007F5F4D"/>
    <w:rsid w:val="00802B14"/>
    <w:rsid w:val="00803D8D"/>
    <w:rsid w:val="00805D43"/>
    <w:rsid w:val="00807267"/>
    <w:rsid w:val="008119C7"/>
    <w:rsid w:val="008122D0"/>
    <w:rsid w:val="008146BE"/>
    <w:rsid w:val="00820604"/>
    <w:rsid w:val="00821DEE"/>
    <w:rsid w:val="00822F5B"/>
    <w:rsid w:val="00825CB0"/>
    <w:rsid w:val="00837896"/>
    <w:rsid w:val="008406EE"/>
    <w:rsid w:val="00840AA4"/>
    <w:rsid w:val="008416F5"/>
    <w:rsid w:val="00843406"/>
    <w:rsid w:val="00844F4F"/>
    <w:rsid w:val="008471DC"/>
    <w:rsid w:val="00847F63"/>
    <w:rsid w:val="008507C4"/>
    <w:rsid w:val="008550F6"/>
    <w:rsid w:val="00861897"/>
    <w:rsid w:val="00864B59"/>
    <w:rsid w:val="0086700D"/>
    <w:rsid w:val="0087246F"/>
    <w:rsid w:val="0087364F"/>
    <w:rsid w:val="00875B9F"/>
    <w:rsid w:val="00883FBC"/>
    <w:rsid w:val="0088652B"/>
    <w:rsid w:val="0089090C"/>
    <w:rsid w:val="00890CC6"/>
    <w:rsid w:val="00892CB2"/>
    <w:rsid w:val="008A3325"/>
    <w:rsid w:val="008A51E2"/>
    <w:rsid w:val="008A66B2"/>
    <w:rsid w:val="008B23F8"/>
    <w:rsid w:val="008C0564"/>
    <w:rsid w:val="008C1342"/>
    <w:rsid w:val="008C303F"/>
    <w:rsid w:val="008C4935"/>
    <w:rsid w:val="008C6ACC"/>
    <w:rsid w:val="008D4A90"/>
    <w:rsid w:val="008E3119"/>
    <w:rsid w:val="008E7598"/>
    <w:rsid w:val="008F025C"/>
    <w:rsid w:val="008F2174"/>
    <w:rsid w:val="008F2F7F"/>
    <w:rsid w:val="008F5684"/>
    <w:rsid w:val="008F6CE3"/>
    <w:rsid w:val="008F7987"/>
    <w:rsid w:val="009002C4"/>
    <w:rsid w:val="009011AE"/>
    <w:rsid w:val="00901222"/>
    <w:rsid w:val="009018C8"/>
    <w:rsid w:val="0090598C"/>
    <w:rsid w:val="00906FA8"/>
    <w:rsid w:val="00911412"/>
    <w:rsid w:val="0091266A"/>
    <w:rsid w:val="0091337D"/>
    <w:rsid w:val="00915A58"/>
    <w:rsid w:val="00921001"/>
    <w:rsid w:val="00921533"/>
    <w:rsid w:val="00926868"/>
    <w:rsid w:val="00930DD6"/>
    <w:rsid w:val="00935BA4"/>
    <w:rsid w:val="00935C39"/>
    <w:rsid w:val="009362DE"/>
    <w:rsid w:val="00944150"/>
    <w:rsid w:val="0094776B"/>
    <w:rsid w:val="00951244"/>
    <w:rsid w:val="00956018"/>
    <w:rsid w:val="00963E48"/>
    <w:rsid w:val="00967B8C"/>
    <w:rsid w:val="009725D3"/>
    <w:rsid w:val="00974377"/>
    <w:rsid w:val="00976692"/>
    <w:rsid w:val="00980351"/>
    <w:rsid w:val="009824B6"/>
    <w:rsid w:val="0098404C"/>
    <w:rsid w:val="00991AC2"/>
    <w:rsid w:val="0099687C"/>
    <w:rsid w:val="00997256"/>
    <w:rsid w:val="009A2EC2"/>
    <w:rsid w:val="009B20C1"/>
    <w:rsid w:val="009B3FDC"/>
    <w:rsid w:val="009B44B4"/>
    <w:rsid w:val="009B63EB"/>
    <w:rsid w:val="009B7B09"/>
    <w:rsid w:val="009C14C5"/>
    <w:rsid w:val="009C2819"/>
    <w:rsid w:val="009C28FA"/>
    <w:rsid w:val="009D108C"/>
    <w:rsid w:val="009D48F6"/>
    <w:rsid w:val="009E2E4D"/>
    <w:rsid w:val="009F38AF"/>
    <w:rsid w:val="009F7DFE"/>
    <w:rsid w:val="00A00069"/>
    <w:rsid w:val="00A00635"/>
    <w:rsid w:val="00A01715"/>
    <w:rsid w:val="00A13F06"/>
    <w:rsid w:val="00A16B6B"/>
    <w:rsid w:val="00A1795F"/>
    <w:rsid w:val="00A2359D"/>
    <w:rsid w:val="00A2572D"/>
    <w:rsid w:val="00A30E58"/>
    <w:rsid w:val="00A34099"/>
    <w:rsid w:val="00A40D60"/>
    <w:rsid w:val="00A42B3F"/>
    <w:rsid w:val="00A439E5"/>
    <w:rsid w:val="00A46096"/>
    <w:rsid w:val="00A521F1"/>
    <w:rsid w:val="00A52AFD"/>
    <w:rsid w:val="00A57960"/>
    <w:rsid w:val="00A62F07"/>
    <w:rsid w:val="00A728B4"/>
    <w:rsid w:val="00A731A3"/>
    <w:rsid w:val="00A733CE"/>
    <w:rsid w:val="00A757ED"/>
    <w:rsid w:val="00A76A03"/>
    <w:rsid w:val="00A81107"/>
    <w:rsid w:val="00A83F74"/>
    <w:rsid w:val="00A83FE1"/>
    <w:rsid w:val="00A92C0E"/>
    <w:rsid w:val="00A94AE4"/>
    <w:rsid w:val="00A9636D"/>
    <w:rsid w:val="00AA16FE"/>
    <w:rsid w:val="00AB1827"/>
    <w:rsid w:val="00AC0268"/>
    <w:rsid w:val="00AC37C7"/>
    <w:rsid w:val="00AC3D12"/>
    <w:rsid w:val="00AD233A"/>
    <w:rsid w:val="00AD4B7C"/>
    <w:rsid w:val="00AD5812"/>
    <w:rsid w:val="00AE1D0E"/>
    <w:rsid w:val="00AE28C3"/>
    <w:rsid w:val="00AE4833"/>
    <w:rsid w:val="00AF2A59"/>
    <w:rsid w:val="00AF4695"/>
    <w:rsid w:val="00B02E14"/>
    <w:rsid w:val="00B10A75"/>
    <w:rsid w:val="00B122CE"/>
    <w:rsid w:val="00B12F9E"/>
    <w:rsid w:val="00B13613"/>
    <w:rsid w:val="00B14556"/>
    <w:rsid w:val="00B16FDB"/>
    <w:rsid w:val="00B2362E"/>
    <w:rsid w:val="00B23E74"/>
    <w:rsid w:val="00B24DCB"/>
    <w:rsid w:val="00B25452"/>
    <w:rsid w:val="00B32361"/>
    <w:rsid w:val="00B33F11"/>
    <w:rsid w:val="00B37DA7"/>
    <w:rsid w:val="00B545B9"/>
    <w:rsid w:val="00B5611E"/>
    <w:rsid w:val="00B66E20"/>
    <w:rsid w:val="00B739E2"/>
    <w:rsid w:val="00B74590"/>
    <w:rsid w:val="00B82BE1"/>
    <w:rsid w:val="00B852FE"/>
    <w:rsid w:val="00B87BE4"/>
    <w:rsid w:val="00B946BD"/>
    <w:rsid w:val="00B949BD"/>
    <w:rsid w:val="00BA0004"/>
    <w:rsid w:val="00BA0C3A"/>
    <w:rsid w:val="00BA3D78"/>
    <w:rsid w:val="00BA4F2E"/>
    <w:rsid w:val="00BA4FE7"/>
    <w:rsid w:val="00BA5587"/>
    <w:rsid w:val="00BA603C"/>
    <w:rsid w:val="00BA6A54"/>
    <w:rsid w:val="00BA7532"/>
    <w:rsid w:val="00BB6C71"/>
    <w:rsid w:val="00BC05D6"/>
    <w:rsid w:val="00BC0F2A"/>
    <w:rsid w:val="00BC6F94"/>
    <w:rsid w:val="00BC76A0"/>
    <w:rsid w:val="00BD29AF"/>
    <w:rsid w:val="00BD5184"/>
    <w:rsid w:val="00BD5B88"/>
    <w:rsid w:val="00BD6DC4"/>
    <w:rsid w:val="00BE4E0D"/>
    <w:rsid w:val="00BE52DC"/>
    <w:rsid w:val="00BE56CE"/>
    <w:rsid w:val="00BE7E1B"/>
    <w:rsid w:val="00BF0F83"/>
    <w:rsid w:val="00BF6C82"/>
    <w:rsid w:val="00C076EE"/>
    <w:rsid w:val="00C1223B"/>
    <w:rsid w:val="00C1311C"/>
    <w:rsid w:val="00C13A47"/>
    <w:rsid w:val="00C13BF1"/>
    <w:rsid w:val="00C1599B"/>
    <w:rsid w:val="00C16CA5"/>
    <w:rsid w:val="00C21CC1"/>
    <w:rsid w:val="00C2217D"/>
    <w:rsid w:val="00C23647"/>
    <w:rsid w:val="00C279DD"/>
    <w:rsid w:val="00C30393"/>
    <w:rsid w:val="00C3415E"/>
    <w:rsid w:val="00C36D32"/>
    <w:rsid w:val="00C428F2"/>
    <w:rsid w:val="00C456B5"/>
    <w:rsid w:val="00C50529"/>
    <w:rsid w:val="00C51264"/>
    <w:rsid w:val="00C529E3"/>
    <w:rsid w:val="00C62379"/>
    <w:rsid w:val="00C631FD"/>
    <w:rsid w:val="00C65821"/>
    <w:rsid w:val="00C6611F"/>
    <w:rsid w:val="00C6695F"/>
    <w:rsid w:val="00C72983"/>
    <w:rsid w:val="00C83FFD"/>
    <w:rsid w:val="00C85F91"/>
    <w:rsid w:val="00C9456C"/>
    <w:rsid w:val="00C95A15"/>
    <w:rsid w:val="00CA09D0"/>
    <w:rsid w:val="00CA17EE"/>
    <w:rsid w:val="00CA2A3A"/>
    <w:rsid w:val="00CA55EE"/>
    <w:rsid w:val="00CA62E6"/>
    <w:rsid w:val="00CB2D86"/>
    <w:rsid w:val="00CC0B96"/>
    <w:rsid w:val="00CC1506"/>
    <w:rsid w:val="00CD166B"/>
    <w:rsid w:val="00CD4353"/>
    <w:rsid w:val="00CD4BAE"/>
    <w:rsid w:val="00CD6998"/>
    <w:rsid w:val="00CE1293"/>
    <w:rsid w:val="00CE49F8"/>
    <w:rsid w:val="00CE5B35"/>
    <w:rsid w:val="00CE76A3"/>
    <w:rsid w:val="00CE7F78"/>
    <w:rsid w:val="00CF2D07"/>
    <w:rsid w:val="00CF2E60"/>
    <w:rsid w:val="00CF33A4"/>
    <w:rsid w:val="00CF3E1F"/>
    <w:rsid w:val="00CF4A2F"/>
    <w:rsid w:val="00CF4B6E"/>
    <w:rsid w:val="00CF6126"/>
    <w:rsid w:val="00D01A13"/>
    <w:rsid w:val="00D048AB"/>
    <w:rsid w:val="00D05376"/>
    <w:rsid w:val="00D065DD"/>
    <w:rsid w:val="00D14FB8"/>
    <w:rsid w:val="00D173B0"/>
    <w:rsid w:val="00D2048A"/>
    <w:rsid w:val="00D20505"/>
    <w:rsid w:val="00D220AD"/>
    <w:rsid w:val="00D237FE"/>
    <w:rsid w:val="00D266D7"/>
    <w:rsid w:val="00D27056"/>
    <w:rsid w:val="00D306F5"/>
    <w:rsid w:val="00D320DB"/>
    <w:rsid w:val="00D34891"/>
    <w:rsid w:val="00D350F3"/>
    <w:rsid w:val="00D53304"/>
    <w:rsid w:val="00D63690"/>
    <w:rsid w:val="00D664D9"/>
    <w:rsid w:val="00D67236"/>
    <w:rsid w:val="00D70A66"/>
    <w:rsid w:val="00D713DC"/>
    <w:rsid w:val="00D74441"/>
    <w:rsid w:val="00D74B10"/>
    <w:rsid w:val="00D77435"/>
    <w:rsid w:val="00D8134D"/>
    <w:rsid w:val="00D82375"/>
    <w:rsid w:val="00D8504C"/>
    <w:rsid w:val="00D91032"/>
    <w:rsid w:val="00D96C53"/>
    <w:rsid w:val="00D96F5D"/>
    <w:rsid w:val="00DA364D"/>
    <w:rsid w:val="00DA3CD3"/>
    <w:rsid w:val="00DA7AF8"/>
    <w:rsid w:val="00DB0A2D"/>
    <w:rsid w:val="00DB5818"/>
    <w:rsid w:val="00DB749D"/>
    <w:rsid w:val="00DC3BFD"/>
    <w:rsid w:val="00DC41DF"/>
    <w:rsid w:val="00DC66F3"/>
    <w:rsid w:val="00DD2A63"/>
    <w:rsid w:val="00DD3404"/>
    <w:rsid w:val="00DD35C4"/>
    <w:rsid w:val="00DD3CFE"/>
    <w:rsid w:val="00DD3E28"/>
    <w:rsid w:val="00DD4400"/>
    <w:rsid w:val="00DD4DAB"/>
    <w:rsid w:val="00DD748D"/>
    <w:rsid w:val="00DE1755"/>
    <w:rsid w:val="00DF0131"/>
    <w:rsid w:val="00DF1056"/>
    <w:rsid w:val="00E02ACC"/>
    <w:rsid w:val="00E06171"/>
    <w:rsid w:val="00E20F15"/>
    <w:rsid w:val="00E23870"/>
    <w:rsid w:val="00E30F0B"/>
    <w:rsid w:val="00E32BED"/>
    <w:rsid w:val="00E34284"/>
    <w:rsid w:val="00E3596A"/>
    <w:rsid w:val="00E36B62"/>
    <w:rsid w:val="00E4540D"/>
    <w:rsid w:val="00E47286"/>
    <w:rsid w:val="00E51ED9"/>
    <w:rsid w:val="00E52DB8"/>
    <w:rsid w:val="00E53F5F"/>
    <w:rsid w:val="00E579C0"/>
    <w:rsid w:val="00E62D1A"/>
    <w:rsid w:val="00E712E2"/>
    <w:rsid w:val="00E71FCC"/>
    <w:rsid w:val="00E73395"/>
    <w:rsid w:val="00E7396C"/>
    <w:rsid w:val="00E8050F"/>
    <w:rsid w:val="00E80D86"/>
    <w:rsid w:val="00E819AC"/>
    <w:rsid w:val="00E8321C"/>
    <w:rsid w:val="00E87FB1"/>
    <w:rsid w:val="00E90C92"/>
    <w:rsid w:val="00E90D36"/>
    <w:rsid w:val="00E971C8"/>
    <w:rsid w:val="00E976F3"/>
    <w:rsid w:val="00EA03FC"/>
    <w:rsid w:val="00EA28C2"/>
    <w:rsid w:val="00EA2C2D"/>
    <w:rsid w:val="00EA2FD8"/>
    <w:rsid w:val="00EA34A3"/>
    <w:rsid w:val="00EA3722"/>
    <w:rsid w:val="00EA6D33"/>
    <w:rsid w:val="00EC5BAC"/>
    <w:rsid w:val="00EC63AA"/>
    <w:rsid w:val="00EC750E"/>
    <w:rsid w:val="00EC7EF9"/>
    <w:rsid w:val="00ED0250"/>
    <w:rsid w:val="00ED50FE"/>
    <w:rsid w:val="00ED554A"/>
    <w:rsid w:val="00EE3628"/>
    <w:rsid w:val="00EE39E5"/>
    <w:rsid w:val="00EE4F47"/>
    <w:rsid w:val="00EE5538"/>
    <w:rsid w:val="00EE7570"/>
    <w:rsid w:val="00EF2E1E"/>
    <w:rsid w:val="00EF54CA"/>
    <w:rsid w:val="00F068FE"/>
    <w:rsid w:val="00F100B9"/>
    <w:rsid w:val="00F1027A"/>
    <w:rsid w:val="00F109C7"/>
    <w:rsid w:val="00F12341"/>
    <w:rsid w:val="00F1315C"/>
    <w:rsid w:val="00F1415D"/>
    <w:rsid w:val="00F16B68"/>
    <w:rsid w:val="00F21150"/>
    <w:rsid w:val="00F23331"/>
    <w:rsid w:val="00F270A5"/>
    <w:rsid w:val="00F31393"/>
    <w:rsid w:val="00F325DF"/>
    <w:rsid w:val="00F35E6B"/>
    <w:rsid w:val="00F45EA2"/>
    <w:rsid w:val="00F47F11"/>
    <w:rsid w:val="00F5275B"/>
    <w:rsid w:val="00F54E52"/>
    <w:rsid w:val="00F60930"/>
    <w:rsid w:val="00F64DC1"/>
    <w:rsid w:val="00F676CE"/>
    <w:rsid w:val="00F7042D"/>
    <w:rsid w:val="00F72292"/>
    <w:rsid w:val="00F74007"/>
    <w:rsid w:val="00F762A0"/>
    <w:rsid w:val="00F770A9"/>
    <w:rsid w:val="00F840E6"/>
    <w:rsid w:val="00F8660E"/>
    <w:rsid w:val="00F95FCC"/>
    <w:rsid w:val="00FA46A6"/>
    <w:rsid w:val="00FA789D"/>
    <w:rsid w:val="00FB4DD8"/>
    <w:rsid w:val="00FB67D7"/>
    <w:rsid w:val="00FC375B"/>
    <w:rsid w:val="00FC7C07"/>
    <w:rsid w:val="00FD3D11"/>
    <w:rsid w:val="00FD6586"/>
    <w:rsid w:val="00FD75D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F38AF"/>
    <w:pPr>
      <w:spacing w:after="200" w:line="276" w:lineRule="auto"/>
    </w:pPr>
    <w:rPr>
      <w:lang w:val="en-GB" w:eastAsia="en-US"/>
    </w:rPr>
  </w:style>
  <w:style w:type="paragraph" w:styleId="Overskrift1">
    <w:name w:val="heading 1"/>
    <w:basedOn w:val="Normal"/>
    <w:next w:val="Normal"/>
    <w:link w:val="Overskrift1Tegn"/>
    <w:uiPriority w:val="99"/>
    <w:qFormat/>
    <w:rsid w:val="00237118"/>
    <w:pPr>
      <w:keepNext/>
      <w:keepLines/>
      <w:spacing w:before="480" w:after="0"/>
      <w:outlineLvl w:val="0"/>
    </w:pPr>
    <w:rPr>
      <w:rFonts w:eastAsia="Times New Roman"/>
      <w:b/>
      <w:bCs/>
      <w:color w:val="000000"/>
      <w:sz w:val="32"/>
      <w:szCs w:val="28"/>
    </w:rPr>
  </w:style>
  <w:style w:type="paragraph" w:styleId="Overskrift2">
    <w:name w:val="heading 2"/>
    <w:basedOn w:val="Normal"/>
    <w:next w:val="Normal"/>
    <w:link w:val="Overskrift2Tegn"/>
    <w:uiPriority w:val="99"/>
    <w:qFormat/>
    <w:rsid w:val="00237118"/>
    <w:pPr>
      <w:keepNext/>
      <w:keepLines/>
      <w:spacing w:before="200" w:after="0"/>
      <w:outlineLvl w:val="1"/>
    </w:pPr>
    <w:rPr>
      <w:rFonts w:eastAsia="Times New Roman"/>
      <w:b/>
      <w:bCs/>
      <w:sz w:val="28"/>
      <w:szCs w:val="26"/>
    </w:rPr>
  </w:style>
  <w:style w:type="paragraph" w:styleId="Overskrift3">
    <w:name w:val="heading 3"/>
    <w:basedOn w:val="Normal"/>
    <w:next w:val="Normal"/>
    <w:link w:val="Overskrift3Tegn"/>
    <w:uiPriority w:val="99"/>
    <w:qFormat/>
    <w:rsid w:val="009F38AF"/>
    <w:pPr>
      <w:keepNext/>
      <w:keepLines/>
      <w:spacing w:before="200" w:after="0"/>
      <w:outlineLvl w:val="2"/>
    </w:pPr>
    <w:rPr>
      <w:rFonts w:eastAsia="Times New Roman"/>
      <w:b/>
      <w:bCs/>
      <w:sz w:val="24"/>
    </w:rPr>
  </w:style>
  <w:style w:type="paragraph" w:styleId="Overskrift4">
    <w:name w:val="heading 4"/>
    <w:basedOn w:val="Normal"/>
    <w:next w:val="Normal"/>
    <w:link w:val="Overskrift4Tegn"/>
    <w:uiPriority w:val="99"/>
    <w:qFormat/>
    <w:rsid w:val="009F38AF"/>
    <w:pPr>
      <w:keepNext/>
      <w:keepLines/>
      <w:spacing w:before="200" w:after="0"/>
      <w:outlineLvl w:val="3"/>
    </w:pPr>
    <w:rPr>
      <w:rFonts w:eastAsia="Times New Roman"/>
      <w:b/>
      <w:bCs/>
      <w:i/>
      <w:iCs/>
    </w:rPr>
  </w:style>
  <w:style w:type="paragraph" w:styleId="Overskrift5">
    <w:name w:val="heading 5"/>
    <w:basedOn w:val="Normal"/>
    <w:next w:val="Normal"/>
    <w:link w:val="Overskrift5Tegn"/>
    <w:uiPriority w:val="99"/>
    <w:qFormat/>
    <w:locked/>
    <w:rsid w:val="00452193"/>
    <w:pPr>
      <w:spacing w:before="240" w:after="60"/>
      <w:outlineLvl w:val="4"/>
    </w:pPr>
    <w:rPr>
      <w:rFonts w:ascii="Calibri" w:eastAsia="Times New Roman" w:hAnsi="Calibri"/>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237118"/>
    <w:rPr>
      <w:rFonts w:eastAsia="Times New Roman" w:cs="Times New Roman"/>
      <w:b/>
      <w:bCs/>
      <w:color w:val="000000"/>
      <w:sz w:val="28"/>
      <w:szCs w:val="28"/>
    </w:rPr>
  </w:style>
  <w:style w:type="character" w:customStyle="1" w:styleId="Overskrift2Tegn">
    <w:name w:val="Overskrift 2 Tegn"/>
    <w:basedOn w:val="Standardskrifttypeiafsnit"/>
    <w:link w:val="Overskrift2"/>
    <w:uiPriority w:val="99"/>
    <w:locked/>
    <w:rsid w:val="009F38AF"/>
    <w:rPr>
      <w:rFonts w:eastAsia="Times New Roman" w:cs="Times New Roman"/>
      <w:b/>
      <w:bCs/>
      <w:sz w:val="26"/>
      <w:szCs w:val="26"/>
    </w:rPr>
  </w:style>
  <w:style w:type="character" w:customStyle="1" w:styleId="Overskrift3Tegn">
    <w:name w:val="Overskrift 3 Tegn"/>
    <w:basedOn w:val="Standardskrifttypeiafsnit"/>
    <w:link w:val="Overskrift3"/>
    <w:uiPriority w:val="99"/>
    <w:locked/>
    <w:rsid w:val="009F38AF"/>
    <w:rPr>
      <w:rFonts w:ascii="Arial" w:hAnsi="Arial" w:cs="Times New Roman"/>
      <w:b/>
      <w:bCs/>
      <w:sz w:val="24"/>
    </w:rPr>
  </w:style>
  <w:style w:type="character" w:customStyle="1" w:styleId="Overskrift4Tegn">
    <w:name w:val="Overskrift 4 Tegn"/>
    <w:basedOn w:val="Standardskrifttypeiafsnit"/>
    <w:link w:val="Overskrift4"/>
    <w:uiPriority w:val="99"/>
    <w:locked/>
    <w:rsid w:val="009F38AF"/>
    <w:rPr>
      <w:rFonts w:ascii="Arial" w:hAnsi="Arial" w:cs="Times New Roman"/>
      <w:b/>
      <w:bCs/>
      <w:i/>
      <w:iCs/>
    </w:rPr>
  </w:style>
  <w:style w:type="character" w:customStyle="1" w:styleId="Overskrift5Tegn">
    <w:name w:val="Overskrift 5 Tegn"/>
    <w:basedOn w:val="Standardskrifttypeiafsnit"/>
    <w:link w:val="Overskrift5"/>
    <w:uiPriority w:val="99"/>
    <w:locked/>
    <w:rsid w:val="00452193"/>
    <w:rPr>
      <w:rFonts w:ascii="Calibri" w:hAnsi="Calibri" w:cs="Times New Roman"/>
      <w:b/>
      <w:bCs/>
      <w:i/>
      <w:iCs/>
      <w:sz w:val="26"/>
      <w:szCs w:val="26"/>
      <w:lang w:val="en-GB" w:eastAsia="en-US"/>
    </w:rPr>
  </w:style>
  <w:style w:type="paragraph" w:styleId="Overskrift">
    <w:name w:val="TOC Heading"/>
    <w:basedOn w:val="Overskrift1"/>
    <w:next w:val="Normal"/>
    <w:uiPriority w:val="99"/>
    <w:qFormat/>
    <w:rsid w:val="009F38AF"/>
    <w:pPr>
      <w:outlineLvl w:val="9"/>
    </w:pPr>
    <w:rPr>
      <w:color w:val="auto"/>
      <w:sz w:val="28"/>
    </w:rPr>
  </w:style>
  <w:style w:type="character" w:styleId="Pladsholdertekst">
    <w:name w:val="Placeholder Text"/>
    <w:basedOn w:val="Standardskrifttypeiafsnit"/>
    <w:uiPriority w:val="99"/>
    <w:semiHidden/>
    <w:rsid w:val="00802B14"/>
    <w:rPr>
      <w:rFonts w:cs="Times New Roman"/>
      <w:color w:val="808080"/>
    </w:rPr>
  </w:style>
  <w:style w:type="paragraph" w:styleId="Markeringsbobletekst">
    <w:name w:val="Balloon Text"/>
    <w:basedOn w:val="Normal"/>
    <w:link w:val="MarkeringsbobletekstTegn"/>
    <w:uiPriority w:val="99"/>
    <w:semiHidden/>
    <w:rsid w:val="00802B1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802B14"/>
    <w:rPr>
      <w:rFonts w:ascii="Tahoma" w:hAnsi="Tahoma" w:cs="Tahoma"/>
      <w:sz w:val="16"/>
      <w:szCs w:val="16"/>
    </w:rPr>
  </w:style>
  <w:style w:type="paragraph" w:styleId="Sidefod">
    <w:name w:val="footer"/>
    <w:basedOn w:val="Normal"/>
    <w:link w:val="SidefodTegn"/>
    <w:uiPriority w:val="99"/>
    <w:rsid w:val="00543E6D"/>
    <w:pPr>
      <w:tabs>
        <w:tab w:val="center" w:pos="4819"/>
        <w:tab w:val="right" w:pos="9638"/>
      </w:tabs>
    </w:pPr>
  </w:style>
  <w:style w:type="character" w:customStyle="1" w:styleId="SidefodTegn">
    <w:name w:val="Sidefod Tegn"/>
    <w:basedOn w:val="Standardskrifttypeiafsnit"/>
    <w:link w:val="Sidefod"/>
    <w:uiPriority w:val="99"/>
    <w:semiHidden/>
    <w:locked/>
    <w:rsid w:val="00A34099"/>
    <w:rPr>
      <w:rFonts w:cs="Times New Roman"/>
      <w:lang w:val="en-GB" w:eastAsia="en-US"/>
    </w:rPr>
  </w:style>
  <w:style w:type="character" w:styleId="Sidetal">
    <w:name w:val="page number"/>
    <w:basedOn w:val="Standardskrifttypeiafsnit"/>
    <w:uiPriority w:val="99"/>
    <w:rsid w:val="00543E6D"/>
    <w:rPr>
      <w:rFonts w:cs="Times New Roman"/>
    </w:rPr>
  </w:style>
  <w:style w:type="character" w:styleId="Hyperlink">
    <w:name w:val="Hyperlink"/>
    <w:basedOn w:val="Standardskrifttypeiafsnit"/>
    <w:uiPriority w:val="99"/>
    <w:rsid w:val="00883FBC"/>
    <w:rPr>
      <w:rFonts w:cs="Times New Roman"/>
      <w:color w:val="003399"/>
      <w:u w:val="single"/>
    </w:rPr>
  </w:style>
  <w:style w:type="paragraph" w:styleId="Fodnotetekst">
    <w:name w:val="footnote text"/>
    <w:basedOn w:val="Normal"/>
    <w:link w:val="FodnotetekstTegn"/>
    <w:uiPriority w:val="99"/>
    <w:semiHidden/>
    <w:unhideWhenUsed/>
    <w:rsid w:val="00ED554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D554A"/>
    <w:rPr>
      <w:sz w:val="20"/>
      <w:szCs w:val="20"/>
      <w:lang w:val="en-GB" w:eastAsia="en-US"/>
    </w:rPr>
  </w:style>
  <w:style w:type="character" w:styleId="Fodnotehenvisning">
    <w:name w:val="footnote reference"/>
    <w:basedOn w:val="Standardskrifttypeiafsnit"/>
    <w:uiPriority w:val="99"/>
    <w:semiHidden/>
    <w:unhideWhenUsed/>
    <w:rsid w:val="00ED554A"/>
    <w:rPr>
      <w:vertAlign w:val="superscript"/>
    </w:rPr>
  </w:style>
  <w:style w:type="paragraph" w:styleId="Listeafsnit">
    <w:name w:val="List Paragraph"/>
    <w:basedOn w:val="Normal"/>
    <w:uiPriority w:val="34"/>
    <w:qFormat/>
    <w:rsid w:val="00D306F5"/>
    <w:pPr>
      <w:ind w:left="720"/>
      <w:contextualSpacing/>
    </w:pPr>
    <w:rPr>
      <w:rFonts w:asciiTheme="minorHAnsi" w:eastAsiaTheme="minorHAnsi" w:hAnsiTheme="minorHAnsi" w:cstheme="minorBidi"/>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F38AF"/>
    <w:pPr>
      <w:spacing w:after="200" w:line="276" w:lineRule="auto"/>
    </w:pPr>
    <w:rPr>
      <w:lang w:val="en-GB" w:eastAsia="en-US"/>
    </w:rPr>
  </w:style>
  <w:style w:type="paragraph" w:styleId="Overskrift1">
    <w:name w:val="heading 1"/>
    <w:basedOn w:val="Normal"/>
    <w:next w:val="Normal"/>
    <w:link w:val="Overskrift1Tegn"/>
    <w:uiPriority w:val="99"/>
    <w:qFormat/>
    <w:rsid w:val="00237118"/>
    <w:pPr>
      <w:keepNext/>
      <w:keepLines/>
      <w:spacing w:before="480" w:after="0"/>
      <w:outlineLvl w:val="0"/>
    </w:pPr>
    <w:rPr>
      <w:rFonts w:eastAsia="Times New Roman"/>
      <w:b/>
      <w:bCs/>
      <w:color w:val="000000"/>
      <w:sz w:val="32"/>
      <w:szCs w:val="28"/>
    </w:rPr>
  </w:style>
  <w:style w:type="paragraph" w:styleId="Overskrift2">
    <w:name w:val="heading 2"/>
    <w:basedOn w:val="Normal"/>
    <w:next w:val="Normal"/>
    <w:link w:val="Overskrift2Tegn"/>
    <w:uiPriority w:val="99"/>
    <w:qFormat/>
    <w:rsid w:val="00237118"/>
    <w:pPr>
      <w:keepNext/>
      <w:keepLines/>
      <w:spacing w:before="200" w:after="0"/>
      <w:outlineLvl w:val="1"/>
    </w:pPr>
    <w:rPr>
      <w:rFonts w:eastAsia="Times New Roman"/>
      <w:b/>
      <w:bCs/>
      <w:sz w:val="28"/>
      <w:szCs w:val="26"/>
    </w:rPr>
  </w:style>
  <w:style w:type="paragraph" w:styleId="Overskrift3">
    <w:name w:val="heading 3"/>
    <w:basedOn w:val="Normal"/>
    <w:next w:val="Normal"/>
    <w:link w:val="Overskrift3Tegn"/>
    <w:uiPriority w:val="99"/>
    <w:qFormat/>
    <w:rsid w:val="009F38AF"/>
    <w:pPr>
      <w:keepNext/>
      <w:keepLines/>
      <w:spacing w:before="200" w:after="0"/>
      <w:outlineLvl w:val="2"/>
    </w:pPr>
    <w:rPr>
      <w:rFonts w:eastAsia="Times New Roman"/>
      <w:b/>
      <w:bCs/>
      <w:sz w:val="24"/>
    </w:rPr>
  </w:style>
  <w:style w:type="paragraph" w:styleId="Overskrift4">
    <w:name w:val="heading 4"/>
    <w:basedOn w:val="Normal"/>
    <w:next w:val="Normal"/>
    <w:link w:val="Overskrift4Tegn"/>
    <w:uiPriority w:val="99"/>
    <w:qFormat/>
    <w:rsid w:val="009F38AF"/>
    <w:pPr>
      <w:keepNext/>
      <w:keepLines/>
      <w:spacing w:before="200" w:after="0"/>
      <w:outlineLvl w:val="3"/>
    </w:pPr>
    <w:rPr>
      <w:rFonts w:eastAsia="Times New Roman"/>
      <w:b/>
      <w:bCs/>
      <w:i/>
      <w:iCs/>
    </w:rPr>
  </w:style>
  <w:style w:type="paragraph" w:styleId="Overskrift5">
    <w:name w:val="heading 5"/>
    <w:basedOn w:val="Normal"/>
    <w:next w:val="Normal"/>
    <w:link w:val="Overskrift5Tegn"/>
    <w:uiPriority w:val="99"/>
    <w:qFormat/>
    <w:locked/>
    <w:rsid w:val="00452193"/>
    <w:pPr>
      <w:spacing w:before="240" w:after="60"/>
      <w:outlineLvl w:val="4"/>
    </w:pPr>
    <w:rPr>
      <w:rFonts w:ascii="Calibri" w:eastAsia="Times New Roman" w:hAnsi="Calibri"/>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237118"/>
    <w:rPr>
      <w:rFonts w:eastAsia="Times New Roman" w:cs="Times New Roman"/>
      <w:b/>
      <w:bCs/>
      <w:color w:val="000000"/>
      <w:sz w:val="28"/>
      <w:szCs w:val="28"/>
    </w:rPr>
  </w:style>
  <w:style w:type="character" w:customStyle="1" w:styleId="Overskrift2Tegn">
    <w:name w:val="Overskrift 2 Tegn"/>
    <w:basedOn w:val="Standardskrifttypeiafsnit"/>
    <w:link w:val="Overskrift2"/>
    <w:uiPriority w:val="99"/>
    <w:locked/>
    <w:rsid w:val="009F38AF"/>
    <w:rPr>
      <w:rFonts w:eastAsia="Times New Roman" w:cs="Times New Roman"/>
      <w:b/>
      <w:bCs/>
      <w:sz w:val="26"/>
      <w:szCs w:val="26"/>
    </w:rPr>
  </w:style>
  <w:style w:type="character" w:customStyle="1" w:styleId="Overskrift3Tegn">
    <w:name w:val="Overskrift 3 Tegn"/>
    <w:basedOn w:val="Standardskrifttypeiafsnit"/>
    <w:link w:val="Overskrift3"/>
    <w:uiPriority w:val="99"/>
    <w:locked/>
    <w:rsid w:val="009F38AF"/>
    <w:rPr>
      <w:rFonts w:ascii="Arial" w:hAnsi="Arial" w:cs="Times New Roman"/>
      <w:b/>
      <w:bCs/>
      <w:sz w:val="24"/>
    </w:rPr>
  </w:style>
  <w:style w:type="character" w:customStyle="1" w:styleId="Overskrift4Tegn">
    <w:name w:val="Overskrift 4 Tegn"/>
    <w:basedOn w:val="Standardskrifttypeiafsnit"/>
    <w:link w:val="Overskrift4"/>
    <w:uiPriority w:val="99"/>
    <w:locked/>
    <w:rsid w:val="009F38AF"/>
    <w:rPr>
      <w:rFonts w:ascii="Arial" w:hAnsi="Arial" w:cs="Times New Roman"/>
      <w:b/>
      <w:bCs/>
      <w:i/>
      <w:iCs/>
    </w:rPr>
  </w:style>
  <w:style w:type="character" w:customStyle="1" w:styleId="Overskrift5Tegn">
    <w:name w:val="Overskrift 5 Tegn"/>
    <w:basedOn w:val="Standardskrifttypeiafsnit"/>
    <w:link w:val="Overskrift5"/>
    <w:uiPriority w:val="99"/>
    <w:locked/>
    <w:rsid w:val="00452193"/>
    <w:rPr>
      <w:rFonts w:ascii="Calibri" w:hAnsi="Calibri" w:cs="Times New Roman"/>
      <w:b/>
      <w:bCs/>
      <w:i/>
      <w:iCs/>
      <w:sz w:val="26"/>
      <w:szCs w:val="26"/>
      <w:lang w:val="en-GB" w:eastAsia="en-US"/>
    </w:rPr>
  </w:style>
  <w:style w:type="paragraph" w:styleId="Overskrift">
    <w:name w:val="TOC Heading"/>
    <w:basedOn w:val="Overskrift1"/>
    <w:next w:val="Normal"/>
    <w:uiPriority w:val="99"/>
    <w:qFormat/>
    <w:rsid w:val="009F38AF"/>
    <w:pPr>
      <w:outlineLvl w:val="9"/>
    </w:pPr>
    <w:rPr>
      <w:color w:val="auto"/>
      <w:sz w:val="28"/>
    </w:rPr>
  </w:style>
  <w:style w:type="character" w:styleId="Pladsholdertekst">
    <w:name w:val="Placeholder Text"/>
    <w:basedOn w:val="Standardskrifttypeiafsnit"/>
    <w:uiPriority w:val="99"/>
    <w:semiHidden/>
    <w:rsid w:val="00802B14"/>
    <w:rPr>
      <w:rFonts w:cs="Times New Roman"/>
      <w:color w:val="808080"/>
    </w:rPr>
  </w:style>
  <w:style w:type="paragraph" w:styleId="Markeringsbobletekst">
    <w:name w:val="Balloon Text"/>
    <w:basedOn w:val="Normal"/>
    <w:link w:val="MarkeringsbobletekstTegn"/>
    <w:uiPriority w:val="99"/>
    <w:semiHidden/>
    <w:rsid w:val="00802B1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802B14"/>
    <w:rPr>
      <w:rFonts w:ascii="Tahoma" w:hAnsi="Tahoma" w:cs="Tahoma"/>
      <w:sz w:val="16"/>
      <w:szCs w:val="16"/>
    </w:rPr>
  </w:style>
  <w:style w:type="paragraph" w:styleId="Sidefod">
    <w:name w:val="footer"/>
    <w:basedOn w:val="Normal"/>
    <w:link w:val="SidefodTegn"/>
    <w:uiPriority w:val="99"/>
    <w:rsid w:val="00543E6D"/>
    <w:pPr>
      <w:tabs>
        <w:tab w:val="center" w:pos="4819"/>
        <w:tab w:val="right" w:pos="9638"/>
      </w:tabs>
    </w:pPr>
  </w:style>
  <w:style w:type="character" w:customStyle="1" w:styleId="SidefodTegn">
    <w:name w:val="Sidefod Tegn"/>
    <w:basedOn w:val="Standardskrifttypeiafsnit"/>
    <w:link w:val="Sidefod"/>
    <w:uiPriority w:val="99"/>
    <w:semiHidden/>
    <w:locked/>
    <w:rsid w:val="00A34099"/>
    <w:rPr>
      <w:rFonts w:cs="Times New Roman"/>
      <w:lang w:val="en-GB" w:eastAsia="en-US"/>
    </w:rPr>
  </w:style>
  <w:style w:type="character" w:styleId="Sidetal">
    <w:name w:val="page number"/>
    <w:basedOn w:val="Standardskrifttypeiafsnit"/>
    <w:uiPriority w:val="99"/>
    <w:rsid w:val="00543E6D"/>
    <w:rPr>
      <w:rFonts w:cs="Times New Roman"/>
    </w:rPr>
  </w:style>
  <w:style w:type="character" w:styleId="Hyperlink">
    <w:name w:val="Hyperlink"/>
    <w:basedOn w:val="Standardskrifttypeiafsnit"/>
    <w:uiPriority w:val="99"/>
    <w:rsid w:val="00883FBC"/>
    <w:rPr>
      <w:rFonts w:cs="Times New Roman"/>
      <w:color w:val="003399"/>
      <w:u w:val="single"/>
    </w:rPr>
  </w:style>
  <w:style w:type="paragraph" w:styleId="Fodnotetekst">
    <w:name w:val="footnote text"/>
    <w:basedOn w:val="Normal"/>
    <w:link w:val="FodnotetekstTegn"/>
    <w:uiPriority w:val="99"/>
    <w:semiHidden/>
    <w:unhideWhenUsed/>
    <w:rsid w:val="00ED554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D554A"/>
    <w:rPr>
      <w:sz w:val="20"/>
      <w:szCs w:val="20"/>
      <w:lang w:val="en-GB" w:eastAsia="en-US"/>
    </w:rPr>
  </w:style>
  <w:style w:type="character" w:styleId="Fodnotehenvisning">
    <w:name w:val="footnote reference"/>
    <w:basedOn w:val="Standardskrifttypeiafsnit"/>
    <w:uiPriority w:val="99"/>
    <w:semiHidden/>
    <w:unhideWhenUsed/>
    <w:rsid w:val="00ED554A"/>
    <w:rPr>
      <w:vertAlign w:val="superscript"/>
    </w:rPr>
  </w:style>
  <w:style w:type="paragraph" w:styleId="Listeafsnit">
    <w:name w:val="List Paragraph"/>
    <w:basedOn w:val="Normal"/>
    <w:uiPriority w:val="34"/>
    <w:qFormat/>
    <w:rsid w:val="00D306F5"/>
    <w:pPr>
      <w:ind w:left="720"/>
      <w:contextualSpacing/>
    </w:pPr>
    <w:rPr>
      <w:rFonts w:asciiTheme="minorHAnsi" w:eastAsiaTheme="minorHAnsi" w:hAnsiTheme="minorHAnsi" w:cstheme="minorBid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58494">
      <w:marLeft w:val="0"/>
      <w:marRight w:val="0"/>
      <w:marTop w:val="0"/>
      <w:marBottom w:val="0"/>
      <w:divBdr>
        <w:top w:val="none" w:sz="0" w:space="0" w:color="auto"/>
        <w:left w:val="none" w:sz="0" w:space="0" w:color="auto"/>
        <w:bottom w:val="none" w:sz="0" w:space="0" w:color="auto"/>
        <w:right w:val="none" w:sz="0" w:space="0" w:color="auto"/>
      </w:divBdr>
      <w:divsChild>
        <w:div w:id="317658497">
          <w:marLeft w:val="0"/>
          <w:marRight w:val="0"/>
          <w:marTop w:val="0"/>
          <w:marBottom w:val="0"/>
          <w:divBdr>
            <w:top w:val="none" w:sz="0" w:space="0" w:color="auto"/>
            <w:left w:val="none" w:sz="0" w:space="0" w:color="auto"/>
            <w:bottom w:val="none" w:sz="0" w:space="0" w:color="auto"/>
            <w:right w:val="none" w:sz="0" w:space="0" w:color="auto"/>
          </w:divBdr>
          <w:divsChild>
            <w:div w:id="317658496">
              <w:marLeft w:val="3225"/>
              <w:marRight w:val="0"/>
              <w:marTop w:val="0"/>
              <w:marBottom w:val="0"/>
              <w:divBdr>
                <w:top w:val="none" w:sz="0" w:space="0" w:color="auto"/>
                <w:left w:val="none" w:sz="0" w:space="0" w:color="auto"/>
                <w:bottom w:val="none" w:sz="0" w:space="0" w:color="auto"/>
                <w:right w:val="none" w:sz="0" w:space="0" w:color="auto"/>
              </w:divBdr>
              <w:divsChild>
                <w:div w:id="317658500">
                  <w:marLeft w:val="90"/>
                  <w:marRight w:val="0"/>
                  <w:marTop w:val="0"/>
                  <w:marBottom w:val="0"/>
                  <w:divBdr>
                    <w:top w:val="single" w:sz="6" w:space="0" w:color="EEEEEE"/>
                    <w:left w:val="none" w:sz="0" w:space="0" w:color="auto"/>
                    <w:bottom w:val="none" w:sz="0" w:space="0" w:color="auto"/>
                    <w:right w:val="none" w:sz="0" w:space="0" w:color="auto"/>
                  </w:divBdr>
                  <w:divsChild>
                    <w:div w:id="317658501">
                      <w:marLeft w:val="0"/>
                      <w:marRight w:val="0"/>
                      <w:marTop w:val="0"/>
                      <w:marBottom w:val="0"/>
                      <w:divBdr>
                        <w:top w:val="none" w:sz="0" w:space="0" w:color="auto"/>
                        <w:left w:val="none" w:sz="0" w:space="0" w:color="auto"/>
                        <w:bottom w:val="none" w:sz="0" w:space="0" w:color="auto"/>
                        <w:right w:val="none" w:sz="0" w:space="0" w:color="auto"/>
                      </w:divBdr>
                      <w:divsChild>
                        <w:div w:id="3176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658503">
      <w:marLeft w:val="0"/>
      <w:marRight w:val="0"/>
      <w:marTop w:val="0"/>
      <w:marBottom w:val="0"/>
      <w:divBdr>
        <w:top w:val="none" w:sz="0" w:space="0" w:color="auto"/>
        <w:left w:val="none" w:sz="0" w:space="0" w:color="auto"/>
        <w:bottom w:val="none" w:sz="0" w:space="0" w:color="auto"/>
        <w:right w:val="none" w:sz="0" w:space="0" w:color="auto"/>
      </w:divBdr>
      <w:divsChild>
        <w:div w:id="317658498">
          <w:marLeft w:val="0"/>
          <w:marRight w:val="0"/>
          <w:marTop w:val="0"/>
          <w:marBottom w:val="0"/>
          <w:divBdr>
            <w:top w:val="none" w:sz="0" w:space="0" w:color="auto"/>
            <w:left w:val="none" w:sz="0" w:space="0" w:color="auto"/>
            <w:bottom w:val="none" w:sz="0" w:space="0" w:color="auto"/>
            <w:right w:val="none" w:sz="0" w:space="0" w:color="auto"/>
          </w:divBdr>
          <w:divsChild>
            <w:div w:id="317658504">
              <w:marLeft w:val="3225"/>
              <w:marRight w:val="0"/>
              <w:marTop w:val="0"/>
              <w:marBottom w:val="0"/>
              <w:divBdr>
                <w:top w:val="none" w:sz="0" w:space="0" w:color="auto"/>
                <w:left w:val="none" w:sz="0" w:space="0" w:color="auto"/>
                <w:bottom w:val="none" w:sz="0" w:space="0" w:color="auto"/>
                <w:right w:val="none" w:sz="0" w:space="0" w:color="auto"/>
              </w:divBdr>
              <w:divsChild>
                <w:div w:id="317658499">
                  <w:marLeft w:val="90"/>
                  <w:marRight w:val="0"/>
                  <w:marTop w:val="0"/>
                  <w:marBottom w:val="0"/>
                  <w:divBdr>
                    <w:top w:val="single" w:sz="6" w:space="0" w:color="EEEEEE"/>
                    <w:left w:val="none" w:sz="0" w:space="0" w:color="auto"/>
                    <w:bottom w:val="none" w:sz="0" w:space="0" w:color="auto"/>
                    <w:right w:val="none" w:sz="0" w:space="0" w:color="auto"/>
                  </w:divBdr>
                  <w:divsChild>
                    <w:div w:id="317658495">
                      <w:marLeft w:val="0"/>
                      <w:marRight w:val="0"/>
                      <w:marTop w:val="0"/>
                      <w:marBottom w:val="0"/>
                      <w:divBdr>
                        <w:top w:val="none" w:sz="0" w:space="0" w:color="auto"/>
                        <w:left w:val="none" w:sz="0" w:space="0" w:color="auto"/>
                        <w:bottom w:val="none" w:sz="0" w:space="0" w:color="auto"/>
                        <w:right w:val="none" w:sz="0" w:space="0" w:color="auto"/>
                      </w:divBdr>
                      <w:divsChild>
                        <w:div w:id="3176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557821">
      <w:bodyDiv w:val="1"/>
      <w:marLeft w:val="0"/>
      <w:marRight w:val="0"/>
      <w:marTop w:val="0"/>
      <w:marBottom w:val="0"/>
      <w:divBdr>
        <w:top w:val="none" w:sz="0" w:space="0" w:color="auto"/>
        <w:left w:val="none" w:sz="0" w:space="0" w:color="auto"/>
        <w:bottom w:val="none" w:sz="0" w:space="0" w:color="auto"/>
        <w:right w:val="none" w:sz="0" w:space="0" w:color="auto"/>
      </w:divBdr>
      <w:divsChild>
        <w:div w:id="1641381672">
          <w:marLeft w:val="0"/>
          <w:marRight w:val="0"/>
          <w:marTop w:val="0"/>
          <w:marBottom w:val="0"/>
          <w:divBdr>
            <w:top w:val="none" w:sz="0" w:space="0" w:color="auto"/>
            <w:left w:val="none" w:sz="0" w:space="0" w:color="auto"/>
            <w:bottom w:val="none" w:sz="0" w:space="0" w:color="auto"/>
            <w:right w:val="none" w:sz="0" w:space="0" w:color="auto"/>
          </w:divBdr>
          <w:divsChild>
            <w:div w:id="6717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7190">
      <w:bodyDiv w:val="1"/>
      <w:marLeft w:val="0"/>
      <w:marRight w:val="0"/>
      <w:marTop w:val="0"/>
      <w:marBottom w:val="0"/>
      <w:divBdr>
        <w:top w:val="none" w:sz="0" w:space="0" w:color="auto"/>
        <w:left w:val="none" w:sz="0" w:space="0" w:color="auto"/>
        <w:bottom w:val="none" w:sz="0" w:space="0" w:color="auto"/>
        <w:right w:val="none" w:sz="0" w:space="0" w:color="auto"/>
      </w:divBdr>
    </w:div>
    <w:div w:id="1573850982">
      <w:bodyDiv w:val="1"/>
      <w:marLeft w:val="0"/>
      <w:marRight w:val="0"/>
      <w:marTop w:val="0"/>
      <w:marBottom w:val="0"/>
      <w:divBdr>
        <w:top w:val="none" w:sz="0" w:space="0" w:color="auto"/>
        <w:left w:val="none" w:sz="0" w:space="0" w:color="auto"/>
        <w:bottom w:val="none" w:sz="0" w:space="0" w:color="auto"/>
        <w:right w:val="none" w:sz="0" w:space="0" w:color="auto"/>
      </w:divBdr>
      <w:divsChild>
        <w:div w:id="1239167455">
          <w:marLeft w:val="0"/>
          <w:marRight w:val="0"/>
          <w:marTop w:val="0"/>
          <w:marBottom w:val="0"/>
          <w:divBdr>
            <w:top w:val="none" w:sz="0" w:space="0" w:color="auto"/>
            <w:left w:val="none" w:sz="0" w:space="0" w:color="auto"/>
            <w:bottom w:val="none" w:sz="0" w:space="0" w:color="auto"/>
            <w:right w:val="none" w:sz="0" w:space="0" w:color="auto"/>
          </w:divBdr>
          <w:divsChild>
            <w:div w:id="2065830263">
              <w:marLeft w:val="0"/>
              <w:marRight w:val="0"/>
              <w:marTop w:val="0"/>
              <w:marBottom w:val="0"/>
              <w:divBdr>
                <w:top w:val="none" w:sz="0" w:space="0" w:color="auto"/>
                <w:left w:val="none" w:sz="0" w:space="0" w:color="auto"/>
                <w:bottom w:val="none" w:sz="0" w:space="0" w:color="auto"/>
                <w:right w:val="none" w:sz="0" w:space="0" w:color="auto"/>
              </w:divBdr>
            </w:div>
            <w:div w:id="1407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3122">
      <w:bodyDiv w:val="1"/>
      <w:marLeft w:val="0"/>
      <w:marRight w:val="0"/>
      <w:marTop w:val="0"/>
      <w:marBottom w:val="0"/>
      <w:divBdr>
        <w:top w:val="none" w:sz="0" w:space="0" w:color="auto"/>
        <w:left w:val="none" w:sz="0" w:space="0" w:color="auto"/>
        <w:bottom w:val="none" w:sz="0" w:space="0" w:color="auto"/>
        <w:right w:val="none" w:sz="0" w:space="0" w:color="auto"/>
      </w:divBdr>
      <w:divsChild>
        <w:div w:id="845443960">
          <w:marLeft w:val="0"/>
          <w:marRight w:val="0"/>
          <w:marTop w:val="0"/>
          <w:marBottom w:val="0"/>
          <w:divBdr>
            <w:top w:val="none" w:sz="0" w:space="0" w:color="auto"/>
            <w:left w:val="none" w:sz="0" w:space="0" w:color="auto"/>
            <w:bottom w:val="none" w:sz="0" w:space="0" w:color="auto"/>
            <w:right w:val="none" w:sz="0" w:space="0" w:color="auto"/>
          </w:divBdr>
          <w:divsChild>
            <w:div w:id="1415399080">
              <w:marLeft w:val="0"/>
              <w:marRight w:val="0"/>
              <w:marTop w:val="0"/>
              <w:marBottom w:val="0"/>
              <w:divBdr>
                <w:top w:val="none" w:sz="0" w:space="0" w:color="auto"/>
                <w:left w:val="none" w:sz="0" w:space="0" w:color="auto"/>
                <w:bottom w:val="none" w:sz="0" w:space="0" w:color="auto"/>
                <w:right w:val="none" w:sz="0" w:space="0" w:color="auto"/>
              </w:divBdr>
              <w:divsChild>
                <w:div w:id="1244340552">
                  <w:marLeft w:val="0"/>
                  <w:marRight w:val="0"/>
                  <w:marTop w:val="0"/>
                  <w:marBottom w:val="0"/>
                  <w:divBdr>
                    <w:top w:val="none" w:sz="0" w:space="0" w:color="auto"/>
                    <w:left w:val="none" w:sz="0" w:space="0" w:color="auto"/>
                    <w:bottom w:val="none" w:sz="0" w:space="0" w:color="auto"/>
                    <w:right w:val="none" w:sz="0" w:space="0" w:color="auto"/>
                  </w:divBdr>
                  <w:divsChild>
                    <w:div w:id="1623655192">
                      <w:marLeft w:val="0"/>
                      <w:marRight w:val="0"/>
                      <w:marTop w:val="0"/>
                      <w:marBottom w:val="0"/>
                      <w:divBdr>
                        <w:top w:val="none" w:sz="0" w:space="0" w:color="auto"/>
                        <w:left w:val="none" w:sz="0" w:space="0" w:color="auto"/>
                        <w:bottom w:val="none" w:sz="0" w:space="0" w:color="auto"/>
                        <w:right w:val="none" w:sz="0" w:space="0" w:color="auto"/>
                      </w:divBdr>
                      <w:divsChild>
                        <w:div w:id="1011639559">
                          <w:marLeft w:val="0"/>
                          <w:marRight w:val="0"/>
                          <w:marTop w:val="0"/>
                          <w:marBottom w:val="0"/>
                          <w:divBdr>
                            <w:top w:val="none" w:sz="0" w:space="0" w:color="auto"/>
                            <w:left w:val="none" w:sz="0" w:space="0" w:color="auto"/>
                            <w:bottom w:val="none" w:sz="0" w:space="0" w:color="auto"/>
                            <w:right w:val="none" w:sz="0" w:space="0" w:color="auto"/>
                          </w:divBdr>
                          <w:divsChild>
                            <w:div w:id="1076054857">
                              <w:marLeft w:val="0"/>
                              <w:marRight w:val="0"/>
                              <w:marTop w:val="0"/>
                              <w:marBottom w:val="0"/>
                              <w:divBdr>
                                <w:top w:val="none" w:sz="0" w:space="0" w:color="auto"/>
                                <w:left w:val="none" w:sz="0" w:space="0" w:color="auto"/>
                                <w:bottom w:val="none" w:sz="0" w:space="0" w:color="auto"/>
                                <w:right w:val="none" w:sz="0" w:space="0" w:color="auto"/>
                              </w:divBdr>
                              <w:divsChild>
                                <w:div w:id="2127040188">
                                  <w:marLeft w:val="0"/>
                                  <w:marRight w:val="0"/>
                                  <w:marTop w:val="0"/>
                                  <w:marBottom w:val="0"/>
                                  <w:divBdr>
                                    <w:top w:val="none" w:sz="0" w:space="0" w:color="auto"/>
                                    <w:left w:val="none" w:sz="0" w:space="0" w:color="auto"/>
                                    <w:bottom w:val="none" w:sz="0" w:space="0" w:color="auto"/>
                                    <w:right w:val="none" w:sz="0" w:space="0" w:color="auto"/>
                                  </w:divBdr>
                                  <w:divsChild>
                                    <w:div w:id="1239024820">
                                      <w:marLeft w:val="0"/>
                                      <w:marRight w:val="0"/>
                                      <w:marTop w:val="0"/>
                                      <w:marBottom w:val="0"/>
                                      <w:divBdr>
                                        <w:top w:val="none" w:sz="0" w:space="0" w:color="auto"/>
                                        <w:left w:val="none" w:sz="0" w:space="0" w:color="auto"/>
                                        <w:bottom w:val="none" w:sz="0" w:space="0" w:color="auto"/>
                                        <w:right w:val="none" w:sz="0" w:space="0" w:color="auto"/>
                                      </w:divBdr>
                                      <w:divsChild>
                                        <w:div w:id="105388876">
                                          <w:marLeft w:val="0"/>
                                          <w:marRight w:val="0"/>
                                          <w:marTop w:val="0"/>
                                          <w:marBottom w:val="0"/>
                                          <w:divBdr>
                                            <w:top w:val="none" w:sz="0" w:space="0" w:color="auto"/>
                                            <w:left w:val="none" w:sz="0" w:space="0" w:color="auto"/>
                                            <w:bottom w:val="none" w:sz="0" w:space="0" w:color="auto"/>
                                            <w:right w:val="none" w:sz="0" w:space="0" w:color="auto"/>
                                          </w:divBdr>
                                          <w:divsChild>
                                            <w:div w:id="1743481581">
                                              <w:marLeft w:val="0"/>
                                              <w:marRight w:val="0"/>
                                              <w:marTop w:val="0"/>
                                              <w:marBottom w:val="0"/>
                                              <w:divBdr>
                                                <w:top w:val="none" w:sz="0" w:space="0" w:color="auto"/>
                                                <w:left w:val="none" w:sz="0" w:space="0" w:color="auto"/>
                                                <w:bottom w:val="none" w:sz="0" w:space="0" w:color="auto"/>
                                                <w:right w:val="none" w:sz="0" w:space="0" w:color="auto"/>
                                              </w:divBdr>
                                            </w:div>
                                            <w:div w:id="2067754040">
                                              <w:marLeft w:val="0"/>
                                              <w:marRight w:val="0"/>
                                              <w:marTop w:val="0"/>
                                              <w:marBottom w:val="0"/>
                                              <w:divBdr>
                                                <w:top w:val="none" w:sz="0" w:space="0" w:color="auto"/>
                                                <w:left w:val="none" w:sz="0" w:space="0" w:color="auto"/>
                                                <w:bottom w:val="none" w:sz="0" w:space="0" w:color="auto"/>
                                                <w:right w:val="none" w:sz="0" w:space="0" w:color="auto"/>
                                              </w:divBdr>
                                              <w:divsChild>
                                                <w:div w:id="1453669630">
                                                  <w:marLeft w:val="0"/>
                                                  <w:marRight w:val="0"/>
                                                  <w:marTop w:val="0"/>
                                                  <w:marBottom w:val="0"/>
                                                  <w:divBdr>
                                                    <w:top w:val="none" w:sz="0" w:space="0" w:color="auto"/>
                                                    <w:left w:val="none" w:sz="0" w:space="0" w:color="auto"/>
                                                    <w:bottom w:val="none" w:sz="0" w:space="0" w:color="auto"/>
                                                    <w:right w:val="none" w:sz="0" w:space="0" w:color="auto"/>
                                                  </w:divBdr>
                                                </w:div>
                                              </w:divsChild>
                                            </w:div>
                                            <w:div w:id="9136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671253">
      <w:bodyDiv w:val="1"/>
      <w:marLeft w:val="0"/>
      <w:marRight w:val="0"/>
      <w:marTop w:val="0"/>
      <w:marBottom w:val="0"/>
      <w:divBdr>
        <w:top w:val="none" w:sz="0" w:space="0" w:color="auto"/>
        <w:left w:val="none" w:sz="0" w:space="0" w:color="auto"/>
        <w:bottom w:val="none" w:sz="0" w:space="0" w:color="auto"/>
        <w:right w:val="none" w:sz="0" w:space="0" w:color="auto"/>
      </w:divBdr>
      <w:divsChild>
        <w:div w:id="523636605">
          <w:marLeft w:val="0"/>
          <w:marRight w:val="0"/>
          <w:marTop w:val="0"/>
          <w:marBottom w:val="0"/>
          <w:divBdr>
            <w:top w:val="none" w:sz="0" w:space="0" w:color="auto"/>
            <w:left w:val="none" w:sz="0" w:space="0" w:color="auto"/>
            <w:bottom w:val="none" w:sz="0" w:space="0" w:color="auto"/>
            <w:right w:val="none" w:sz="0" w:space="0" w:color="auto"/>
          </w:divBdr>
          <w:divsChild>
            <w:div w:id="1594435274">
              <w:marLeft w:val="0"/>
              <w:marRight w:val="0"/>
              <w:marTop w:val="0"/>
              <w:marBottom w:val="0"/>
              <w:divBdr>
                <w:top w:val="none" w:sz="0" w:space="0" w:color="auto"/>
                <w:left w:val="none" w:sz="0" w:space="0" w:color="auto"/>
                <w:bottom w:val="none" w:sz="0" w:space="0" w:color="auto"/>
                <w:right w:val="none" w:sz="0" w:space="0" w:color="auto"/>
              </w:divBdr>
            </w:div>
            <w:div w:id="5844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3533">
      <w:bodyDiv w:val="1"/>
      <w:marLeft w:val="0"/>
      <w:marRight w:val="0"/>
      <w:marTop w:val="0"/>
      <w:marBottom w:val="0"/>
      <w:divBdr>
        <w:top w:val="none" w:sz="0" w:space="0" w:color="auto"/>
        <w:left w:val="none" w:sz="0" w:space="0" w:color="auto"/>
        <w:bottom w:val="none" w:sz="0" w:space="0" w:color="auto"/>
        <w:right w:val="none" w:sz="0" w:space="0" w:color="auto"/>
      </w:divBdr>
      <w:divsChild>
        <w:div w:id="192039491">
          <w:marLeft w:val="0"/>
          <w:marRight w:val="0"/>
          <w:marTop w:val="0"/>
          <w:marBottom w:val="0"/>
          <w:divBdr>
            <w:top w:val="none" w:sz="0" w:space="0" w:color="auto"/>
            <w:left w:val="none" w:sz="0" w:space="0" w:color="auto"/>
            <w:bottom w:val="none" w:sz="0" w:space="0" w:color="auto"/>
            <w:right w:val="none" w:sz="0" w:space="0" w:color="auto"/>
          </w:divBdr>
          <w:divsChild>
            <w:div w:id="7639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2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gr@ruc.dk" TargetMode="External"/><Relationship Id="rId4" Type="http://schemas.microsoft.com/office/2007/relationships/stylesWithEffects" Target="stylesWithEffects.xml"/><Relationship Id="rId9" Type="http://schemas.openxmlformats.org/officeDocument/2006/relationships/hyperlink" Target="http://bm.dk/Aktuelt/Nyheder/Pressemeddelelser/Arkiv/2011/04/~/media/BEM/Files/Dokumenter/Pressemeddelelser/2011/Optjening/Samlet%20rapport.ash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km.dk/presse/presse/pressemeddelelser/96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25047-5B4E-4DAA-960A-799252FA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7018</Words>
  <Characters>42811</Characters>
  <Application>Microsoft Office Word</Application>
  <DocSecurity>0</DocSecurity>
  <Lines>356</Lines>
  <Paragraphs>99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free movement</vt:lpstr>
      <vt:lpstr>free movement</vt:lpstr>
    </vt:vector>
  </TitlesOfParts>
  <Company>Gladsaxe Kommune</Company>
  <LinksUpToDate>false</LinksUpToDate>
  <CharactersWithSpaces>49730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movement</dc:title>
  <dc:creator>bgr</dc:creator>
  <cp:lastModifiedBy>Sidse Louise Schelde</cp:lastModifiedBy>
  <cp:revision>2</cp:revision>
  <cp:lastPrinted>2013-05-03T09:41:00Z</cp:lastPrinted>
  <dcterms:created xsi:type="dcterms:W3CDTF">2014-10-21T12:27:00Z</dcterms:created>
  <dcterms:modified xsi:type="dcterms:W3CDTF">2014-10-21T12:27:00Z</dcterms:modified>
</cp:coreProperties>
</file>