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D0" w:rsidRPr="00CD3B17" w:rsidRDefault="0090651D" w:rsidP="0090651D">
      <w:pPr>
        <w:jc w:val="center"/>
        <w:rPr>
          <w:rFonts w:ascii="Times New Roman" w:hAnsi="Times New Roman" w:cs="Times New Roman"/>
          <w:b/>
          <w:sz w:val="32"/>
          <w:szCs w:val="32"/>
          <w:lang w:val="en-US"/>
        </w:rPr>
      </w:pPr>
      <w:r w:rsidRPr="00CD3B17">
        <w:rPr>
          <w:rFonts w:ascii="Times New Roman" w:hAnsi="Times New Roman" w:cs="Times New Roman"/>
          <w:b/>
          <w:sz w:val="32"/>
          <w:szCs w:val="32"/>
          <w:lang w:val="en-US"/>
        </w:rPr>
        <w:t>Prescribing democracy? Party proscription, militant democracy and party system institutionalization</w:t>
      </w:r>
    </w:p>
    <w:p w:rsidR="0090651D" w:rsidRPr="008E7AD3" w:rsidRDefault="0090651D" w:rsidP="00883DB3">
      <w:pPr>
        <w:spacing w:line="240" w:lineRule="auto"/>
        <w:jc w:val="center"/>
        <w:rPr>
          <w:rFonts w:ascii="Times New Roman" w:hAnsi="Times New Roman" w:cs="Times New Roman"/>
          <w:b/>
          <w:sz w:val="24"/>
          <w:szCs w:val="24"/>
          <w:lang w:val="en-US"/>
        </w:rPr>
      </w:pPr>
      <w:r w:rsidRPr="008E7AD3">
        <w:rPr>
          <w:rFonts w:ascii="Times New Roman" w:hAnsi="Times New Roman" w:cs="Times New Roman"/>
          <w:b/>
          <w:sz w:val="24"/>
          <w:szCs w:val="24"/>
          <w:lang w:val="en-US"/>
        </w:rPr>
        <w:t>Angela K. Bourne (Roskilde Unive</w:t>
      </w:r>
      <w:r w:rsidR="00BE5293">
        <w:rPr>
          <w:rFonts w:ascii="Times New Roman" w:hAnsi="Times New Roman" w:cs="Times New Roman"/>
          <w:b/>
          <w:sz w:val="24"/>
          <w:szCs w:val="24"/>
          <w:lang w:val="en-US"/>
        </w:rPr>
        <w:t xml:space="preserve">rsity) and Fernando Casal </w:t>
      </w:r>
      <w:proofErr w:type="spellStart"/>
      <w:r w:rsidR="00BE5293">
        <w:rPr>
          <w:rFonts w:ascii="Times New Roman" w:hAnsi="Times New Roman" w:cs="Times New Roman"/>
          <w:b/>
          <w:sz w:val="24"/>
          <w:szCs w:val="24"/>
          <w:lang w:val="en-US"/>
        </w:rPr>
        <w:t>Bérto</w:t>
      </w:r>
      <w:r w:rsidRPr="008E7AD3">
        <w:rPr>
          <w:rFonts w:ascii="Times New Roman" w:hAnsi="Times New Roman" w:cs="Times New Roman"/>
          <w:b/>
          <w:sz w:val="24"/>
          <w:szCs w:val="24"/>
          <w:lang w:val="en-US"/>
        </w:rPr>
        <w:t>a</w:t>
      </w:r>
      <w:proofErr w:type="spellEnd"/>
      <w:r w:rsidRPr="008E7AD3">
        <w:rPr>
          <w:rFonts w:ascii="Times New Roman" w:hAnsi="Times New Roman" w:cs="Times New Roman"/>
          <w:b/>
          <w:sz w:val="24"/>
          <w:szCs w:val="24"/>
          <w:lang w:val="en-US"/>
        </w:rPr>
        <w:t xml:space="preserve"> (University of Nottingham)</w:t>
      </w:r>
      <w:r w:rsidR="00FF4B84" w:rsidRPr="00FF4B84">
        <w:rPr>
          <w:rStyle w:val="FootnoteReference"/>
          <w:rFonts w:ascii="Times New Roman" w:hAnsi="Times New Roman" w:cs="Times New Roman"/>
          <w:b/>
          <w:sz w:val="24"/>
          <w:szCs w:val="24"/>
          <w:lang w:val="en-US"/>
        </w:rPr>
        <w:footnoteReference w:customMarkFollows="1" w:id="1"/>
        <w:sym w:font="Symbol" w:char="F02A"/>
      </w:r>
    </w:p>
    <w:p w:rsidR="00883DB3" w:rsidRDefault="00883DB3" w:rsidP="00883DB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Paper presented at 42</w:t>
      </w:r>
      <w:r w:rsidRPr="00883DB3">
        <w:rPr>
          <w:rFonts w:ascii="Times New Roman" w:hAnsi="Times New Roman" w:cs="Times New Roman"/>
          <w:b/>
          <w:sz w:val="24"/>
          <w:szCs w:val="24"/>
          <w:vertAlign w:val="superscript"/>
          <w:lang w:val="en-US"/>
        </w:rPr>
        <w:t>nd</w:t>
      </w:r>
      <w:r>
        <w:rPr>
          <w:rFonts w:ascii="Times New Roman" w:hAnsi="Times New Roman" w:cs="Times New Roman"/>
          <w:b/>
          <w:sz w:val="24"/>
          <w:szCs w:val="24"/>
          <w:lang w:val="en-US"/>
        </w:rPr>
        <w:t xml:space="preserve"> ECPR Joint Sessions of Workshops, </w:t>
      </w:r>
    </w:p>
    <w:p w:rsidR="004B6A02" w:rsidRDefault="00883DB3" w:rsidP="00883DB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University of Salamanca, 10-15 April 2014</w:t>
      </w:r>
    </w:p>
    <w:p w:rsidR="00883DB3" w:rsidRDefault="00883DB3" w:rsidP="00883DB3">
      <w:pPr>
        <w:spacing w:after="0" w:line="240" w:lineRule="auto"/>
        <w:jc w:val="center"/>
        <w:rPr>
          <w:rFonts w:ascii="Times New Roman" w:hAnsi="Times New Roman" w:cs="Times New Roman"/>
          <w:b/>
          <w:sz w:val="24"/>
          <w:szCs w:val="24"/>
          <w:lang w:val="en-US"/>
        </w:rPr>
      </w:pPr>
    </w:p>
    <w:p w:rsidR="00883DB3" w:rsidRDefault="00883DB3" w:rsidP="00883DB3">
      <w:pPr>
        <w:spacing w:after="0" w:line="240" w:lineRule="auto"/>
        <w:jc w:val="center"/>
        <w:rPr>
          <w:rFonts w:ascii="Times New Roman" w:hAnsi="Times New Roman" w:cs="Times New Roman"/>
          <w:b/>
          <w:sz w:val="24"/>
          <w:szCs w:val="24"/>
          <w:lang w:val="en-US"/>
        </w:rPr>
      </w:pPr>
    </w:p>
    <w:p w:rsidR="005D04CF" w:rsidRDefault="005D04CF" w:rsidP="00653A92">
      <w:pPr>
        <w:jc w:val="center"/>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4B6A02" w:rsidRPr="008E7AD3" w:rsidRDefault="005D4C39" w:rsidP="004B6A02">
      <w:pPr>
        <w:spacing w:line="360" w:lineRule="auto"/>
        <w:rPr>
          <w:rFonts w:ascii="Times New Roman" w:hAnsi="Times New Roman" w:cs="Times New Roman"/>
          <w:sz w:val="24"/>
          <w:szCs w:val="24"/>
          <w:lang w:val="en-US"/>
        </w:rPr>
      </w:pPr>
      <w:r w:rsidRPr="00C700B1">
        <w:rPr>
          <w:rFonts w:ascii="Times New Roman" w:hAnsi="Times New Roman" w:cs="Times New Roman"/>
          <w:sz w:val="24"/>
          <w:szCs w:val="24"/>
          <w:lang w:val="en-US"/>
        </w:rPr>
        <w:t>When democracies ban political parties, one of the central issues</w:t>
      </w:r>
      <w:r w:rsidR="00BB60F7" w:rsidRPr="00C700B1">
        <w:rPr>
          <w:rFonts w:ascii="Times New Roman" w:hAnsi="Times New Roman" w:cs="Times New Roman"/>
          <w:sz w:val="24"/>
          <w:szCs w:val="24"/>
          <w:lang w:val="en-US"/>
        </w:rPr>
        <w:t xml:space="preserve"> that usually </w:t>
      </w:r>
      <w:proofErr w:type="gramStart"/>
      <w:r w:rsidR="00BB60F7" w:rsidRPr="00C700B1">
        <w:rPr>
          <w:rFonts w:ascii="Times New Roman" w:hAnsi="Times New Roman" w:cs="Times New Roman"/>
          <w:sz w:val="24"/>
          <w:szCs w:val="24"/>
          <w:lang w:val="en-US"/>
        </w:rPr>
        <w:t>emerges</w:t>
      </w:r>
      <w:proofErr w:type="gramEnd"/>
      <w:r w:rsidRPr="00C700B1">
        <w:rPr>
          <w:rFonts w:ascii="Times New Roman" w:hAnsi="Times New Roman" w:cs="Times New Roman"/>
          <w:sz w:val="24"/>
          <w:szCs w:val="24"/>
          <w:lang w:val="en-US"/>
        </w:rPr>
        <w:t xml:space="preserve"> in both pub</w:t>
      </w:r>
      <w:r w:rsidR="00BB60F7" w:rsidRPr="00C700B1">
        <w:rPr>
          <w:rFonts w:ascii="Times New Roman" w:hAnsi="Times New Roman" w:cs="Times New Roman"/>
          <w:sz w:val="24"/>
          <w:szCs w:val="24"/>
          <w:lang w:val="en-US"/>
        </w:rPr>
        <w:t>lic and academic debate concerns</w:t>
      </w:r>
      <w:r w:rsidRPr="00C700B1">
        <w:rPr>
          <w:rFonts w:ascii="Times New Roman" w:hAnsi="Times New Roman" w:cs="Times New Roman"/>
          <w:sz w:val="24"/>
          <w:szCs w:val="24"/>
          <w:lang w:val="en-US"/>
        </w:rPr>
        <w:t xml:space="preserve"> t</w:t>
      </w:r>
      <w:r w:rsidR="004B6A02" w:rsidRPr="00C700B1">
        <w:rPr>
          <w:rFonts w:ascii="Times New Roman" w:hAnsi="Times New Roman" w:cs="Times New Roman"/>
          <w:sz w:val="24"/>
          <w:szCs w:val="24"/>
          <w:lang w:val="en-US"/>
        </w:rPr>
        <w:t>he effect</w:t>
      </w:r>
      <w:r w:rsidRPr="00C700B1">
        <w:rPr>
          <w:rFonts w:ascii="Times New Roman" w:hAnsi="Times New Roman" w:cs="Times New Roman"/>
          <w:sz w:val="24"/>
          <w:szCs w:val="24"/>
          <w:lang w:val="en-US"/>
        </w:rPr>
        <w:t>s of proscription.</w:t>
      </w:r>
      <w:r w:rsidR="004B6A02" w:rsidRPr="00C700B1">
        <w:rPr>
          <w:rFonts w:ascii="Times New Roman" w:hAnsi="Times New Roman" w:cs="Times New Roman"/>
          <w:sz w:val="24"/>
          <w:szCs w:val="24"/>
          <w:lang w:val="en-US"/>
        </w:rPr>
        <w:t xml:space="preserve"> Some argue that proscription may lead to </w:t>
      </w:r>
      <w:proofErr w:type="spellStart"/>
      <w:proofErr w:type="gramStart"/>
      <w:r w:rsidR="004B6A02" w:rsidRPr="00C700B1">
        <w:rPr>
          <w:rFonts w:ascii="Times New Roman" w:hAnsi="Times New Roman" w:cs="Times New Roman"/>
          <w:sz w:val="24"/>
          <w:szCs w:val="24"/>
          <w:lang w:val="en-US"/>
        </w:rPr>
        <w:t>radicalisation</w:t>
      </w:r>
      <w:proofErr w:type="spellEnd"/>
      <w:proofErr w:type="gramEnd"/>
      <w:r w:rsidR="004B6A02" w:rsidRPr="00C700B1">
        <w:rPr>
          <w:rFonts w:ascii="Times New Roman" w:hAnsi="Times New Roman" w:cs="Times New Roman"/>
          <w:sz w:val="24"/>
          <w:szCs w:val="24"/>
          <w:lang w:val="en-US"/>
        </w:rPr>
        <w:t>, a growth of militancy and readiness to use violence</w:t>
      </w:r>
      <w:r w:rsidR="00C700B1" w:rsidRPr="00C700B1">
        <w:rPr>
          <w:rFonts w:ascii="Times New Roman" w:hAnsi="Times New Roman" w:cs="Times New Roman"/>
          <w:sz w:val="24"/>
          <w:szCs w:val="24"/>
          <w:lang w:val="en-US"/>
        </w:rPr>
        <w:t xml:space="preserve"> (</w:t>
      </w:r>
      <w:proofErr w:type="spellStart"/>
      <w:r w:rsidR="00C700B1" w:rsidRPr="00C700B1">
        <w:rPr>
          <w:rFonts w:ascii="Times New Roman" w:hAnsi="Times New Roman" w:cs="Times New Roman"/>
          <w:sz w:val="24"/>
          <w:szCs w:val="24"/>
          <w:lang w:val="en-US"/>
        </w:rPr>
        <w:t>Minkenberg</w:t>
      </w:r>
      <w:proofErr w:type="spellEnd"/>
      <w:r w:rsidR="00C700B1" w:rsidRPr="00C700B1">
        <w:rPr>
          <w:rFonts w:ascii="Times New Roman" w:hAnsi="Times New Roman" w:cs="Times New Roman"/>
          <w:sz w:val="24"/>
          <w:szCs w:val="24"/>
          <w:lang w:val="en-US"/>
        </w:rPr>
        <w:t>,</w:t>
      </w:r>
      <w:r w:rsidR="00C700B1">
        <w:rPr>
          <w:rFonts w:ascii="Times New Roman" w:hAnsi="Times New Roman" w:cs="Times New Roman"/>
          <w:sz w:val="24"/>
          <w:szCs w:val="24"/>
          <w:lang w:val="en-US"/>
        </w:rPr>
        <w:t xml:space="preserve"> </w:t>
      </w:r>
      <w:r w:rsidR="00C700B1" w:rsidRPr="00C700B1">
        <w:rPr>
          <w:rFonts w:ascii="Times New Roman" w:hAnsi="Times New Roman" w:cs="Times New Roman"/>
          <w:sz w:val="24"/>
          <w:szCs w:val="24"/>
          <w:lang w:val="en-US"/>
        </w:rPr>
        <w:t>2006,</w:t>
      </w:r>
      <w:r w:rsidR="00C700B1">
        <w:rPr>
          <w:rFonts w:ascii="Times New Roman" w:hAnsi="Times New Roman" w:cs="Times New Roman"/>
          <w:sz w:val="24"/>
          <w:szCs w:val="24"/>
          <w:lang w:val="en-US"/>
        </w:rPr>
        <w:t xml:space="preserve"> </w:t>
      </w:r>
      <w:r w:rsidR="00C700B1" w:rsidRPr="00C700B1">
        <w:rPr>
          <w:rFonts w:ascii="Times New Roman" w:hAnsi="Times New Roman" w:cs="Times New Roman"/>
          <w:sz w:val="24"/>
          <w:szCs w:val="24"/>
          <w:lang w:val="en-US"/>
        </w:rPr>
        <w:t>36).</w:t>
      </w:r>
      <w:r w:rsidR="004B6A02" w:rsidRPr="008E7AD3">
        <w:rPr>
          <w:rFonts w:ascii="Times New Roman" w:hAnsi="Times New Roman" w:cs="Times New Roman"/>
          <w:sz w:val="24"/>
          <w:szCs w:val="24"/>
          <w:lang w:val="en-US"/>
        </w:rPr>
        <w:t xml:space="preserve"> Restrictions on the party may be only temporary especially if a party has deep social and ideological roots in a community, or if state authorities are reluctant to prevent the party re-emerging under a different name</w:t>
      </w:r>
      <w:r w:rsidR="00C700B1">
        <w:rPr>
          <w:rFonts w:ascii="Times New Roman" w:hAnsi="Times New Roman" w:cs="Times New Roman"/>
          <w:sz w:val="24"/>
          <w:szCs w:val="24"/>
          <w:lang w:val="en-US"/>
        </w:rPr>
        <w:t xml:space="preserve"> (ibid, 37; Husbands, 2002, 64)</w:t>
      </w:r>
      <w:r w:rsidR="004B6A02" w:rsidRPr="008E7AD3">
        <w:rPr>
          <w:rFonts w:ascii="Times New Roman" w:hAnsi="Times New Roman" w:cs="Times New Roman"/>
          <w:sz w:val="24"/>
          <w:szCs w:val="24"/>
          <w:lang w:val="en-US"/>
        </w:rPr>
        <w:t xml:space="preserve"> The party ban is not a suitable mechanism for the ‘civic re-education’ of extremists</w:t>
      </w:r>
      <w:r w:rsidR="00C700B1">
        <w:rPr>
          <w:rFonts w:ascii="Times New Roman" w:hAnsi="Times New Roman" w:cs="Times New Roman"/>
          <w:sz w:val="24"/>
          <w:szCs w:val="24"/>
          <w:lang w:val="en-US"/>
        </w:rPr>
        <w:t xml:space="preserve"> (Husbands, 2002, 64)</w:t>
      </w:r>
      <w:r w:rsidR="004B6A02" w:rsidRPr="008E7AD3">
        <w:rPr>
          <w:rFonts w:ascii="Times New Roman" w:hAnsi="Times New Roman" w:cs="Times New Roman"/>
          <w:sz w:val="24"/>
          <w:szCs w:val="24"/>
          <w:lang w:val="en-US"/>
        </w:rPr>
        <w:t xml:space="preserve"> and may merely treat the symptoms rather than the more complex underlying causes of dissatisfaction with the status quo</w:t>
      </w:r>
      <w:r w:rsidR="00C700B1">
        <w:rPr>
          <w:rFonts w:ascii="Times New Roman" w:hAnsi="Times New Roman" w:cs="Times New Roman"/>
          <w:sz w:val="24"/>
          <w:szCs w:val="24"/>
          <w:lang w:val="en-US"/>
        </w:rPr>
        <w:t xml:space="preserve"> </w:t>
      </w:r>
      <w:r w:rsidR="00C700B1" w:rsidRPr="00C700B1">
        <w:rPr>
          <w:rFonts w:ascii="Times New Roman" w:hAnsi="Times New Roman" w:cs="Times New Roman"/>
          <w:sz w:val="24"/>
          <w:szCs w:val="24"/>
          <w:lang w:val="en-US"/>
        </w:rPr>
        <w:t>(Gordon, 1987, 389)</w:t>
      </w:r>
      <w:r w:rsidR="004B6A02" w:rsidRPr="00C700B1">
        <w:rPr>
          <w:rFonts w:ascii="Times New Roman" w:hAnsi="Times New Roman" w:cs="Times New Roman"/>
          <w:sz w:val="24"/>
          <w:szCs w:val="24"/>
          <w:lang w:val="en-US"/>
        </w:rPr>
        <w:t>.</w:t>
      </w:r>
      <w:r w:rsidR="004B6A02" w:rsidRPr="008E7AD3">
        <w:rPr>
          <w:rFonts w:ascii="Times New Roman" w:hAnsi="Times New Roman" w:cs="Times New Roman"/>
          <w:sz w:val="24"/>
          <w:szCs w:val="24"/>
          <w:lang w:val="en-US"/>
        </w:rPr>
        <w:t xml:space="preserve"> Ban proceedings may increase public exposure and opportunities to claim martyrdom or reinforce anti-establishment critiques</w:t>
      </w:r>
      <w:r w:rsidR="00C700B1">
        <w:rPr>
          <w:rFonts w:ascii="Times New Roman" w:hAnsi="Times New Roman" w:cs="Times New Roman"/>
          <w:sz w:val="24"/>
          <w:szCs w:val="24"/>
          <w:lang w:val="en-US"/>
        </w:rPr>
        <w:t xml:space="preserve"> (ibid, 391).</w:t>
      </w:r>
      <w:r w:rsidR="004B6A02" w:rsidRPr="008E7AD3">
        <w:rPr>
          <w:rFonts w:ascii="Times New Roman" w:hAnsi="Times New Roman" w:cs="Times New Roman"/>
          <w:sz w:val="24"/>
          <w:szCs w:val="24"/>
          <w:lang w:val="en-US"/>
        </w:rPr>
        <w:t xml:space="preserve"> Some also argued that, in the long-run, banning parties may damage the foundations of a democratic polity: The party ban may be interpreted as ‘lack of faith in the democratic process’ and an ‘admission of failure</w:t>
      </w:r>
      <w:r w:rsidR="00C700B1">
        <w:rPr>
          <w:rFonts w:ascii="Times New Roman" w:hAnsi="Times New Roman" w:cs="Times New Roman"/>
          <w:sz w:val="24"/>
          <w:szCs w:val="24"/>
          <w:lang w:val="en-US"/>
        </w:rPr>
        <w:t xml:space="preserve">’ (ibid, 390) </w:t>
      </w:r>
      <w:r w:rsidR="004B6A02" w:rsidRPr="008E7AD3">
        <w:rPr>
          <w:rFonts w:ascii="Times New Roman" w:hAnsi="Times New Roman" w:cs="Times New Roman"/>
          <w:sz w:val="24"/>
          <w:szCs w:val="24"/>
          <w:lang w:val="en-US"/>
        </w:rPr>
        <w:t>or its ‘chilling effect’ may signify a silent weakening of democratic rights in the state</w:t>
      </w:r>
      <w:r w:rsidR="00C700B1">
        <w:rPr>
          <w:rFonts w:ascii="Times New Roman" w:hAnsi="Times New Roman" w:cs="Times New Roman"/>
          <w:sz w:val="24"/>
          <w:szCs w:val="24"/>
          <w:lang w:val="en-US"/>
        </w:rPr>
        <w:t xml:space="preserve"> (</w:t>
      </w:r>
      <w:proofErr w:type="spellStart"/>
      <w:r w:rsidR="00C700B1">
        <w:rPr>
          <w:rFonts w:ascii="Times New Roman" w:hAnsi="Times New Roman" w:cs="Times New Roman"/>
          <w:sz w:val="24"/>
          <w:szCs w:val="24"/>
          <w:lang w:val="en-US"/>
        </w:rPr>
        <w:t>Niesen</w:t>
      </w:r>
      <w:proofErr w:type="spellEnd"/>
      <w:r w:rsidR="00C700B1">
        <w:rPr>
          <w:rFonts w:ascii="Times New Roman" w:hAnsi="Times New Roman" w:cs="Times New Roman"/>
          <w:sz w:val="24"/>
          <w:szCs w:val="24"/>
          <w:lang w:val="en-US"/>
        </w:rPr>
        <w:t>, 2002, 256).</w:t>
      </w:r>
      <w:r w:rsidR="004B6A02" w:rsidRPr="008E7AD3">
        <w:rPr>
          <w:rFonts w:ascii="Times New Roman" w:hAnsi="Times New Roman" w:cs="Times New Roman"/>
          <w:sz w:val="24"/>
          <w:szCs w:val="24"/>
          <w:lang w:val="en-US"/>
        </w:rPr>
        <w:t xml:space="preserve"> </w:t>
      </w:r>
    </w:p>
    <w:p w:rsidR="004B6A02" w:rsidRPr="008E7AD3" w:rsidRDefault="004B6A02" w:rsidP="004B6A02">
      <w:pPr>
        <w:spacing w:line="360" w:lineRule="auto"/>
        <w:rPr>
          <w:rFonts w:ascii="Times New Roman" w:hAnsi="Times New Roman" w:cs="Times New Roman"/>
          <w:sz w:val="24"/>
          <w:szCs w:val="24"/>
          <w:lang w:val="en-US"/>
        </w:rPr>
      </w:pPr>
      <w:r w:rsidRPr="008E7AD3">
        <w:rPr>
          <w:rFonts w:ascii="Times New Roman" w:hAnsi="Times New Roman" w:cs="Times New Roman"/>
          <w:sz w:val="24"/>
          <w:szCs w:val="24"/>
          <w:lang w:val="en-US"/>
        </w:rPr>
        <w:t xml:space="preserve">On the other hand, </w:t>
      </w:r>
      <w:r w:rsidR="005D4C39" w:rsidRPr="008E7AD3">
        <w:rPr>
          <w:rFonts w:ascii="Times New Roman" w:hAnsi="Times New Roman" w:cs="Times New Roman"/>
          <w:sz w:val="24"/>
          <w:szCs w:val="24"/>
          <w:lang w:val="en-US"/>
        </w:rPr>
        <w:t>proscription may be punishing for the targeted party, as the ‘cost of claim-making increases across the board and for particular members’</w:t>
      </w:r>
      <w:r w:rsidR="00C700B1">
        <w:rPr>
          <w:rFonts w:ascii="Times New Roman" w:hAnsi="Times New Roman" w:cs="Times New Roman"/>
          <w:sz w:val="24"/>
          <w:szCs w:val="24"/>
          <w:lang w:val="en-US"/>
        </w:rPr>
        <w:t xml:space="preserve"> (Tilly, 2005, 218)</w:t>
      </w:r>
      <w:r w:rsidR="005D4C39" w:rsidRPr="008E7AD3">
        <w:rPr>
          <w:rFonts w:ascii="Times New Roman" w:hAnsi="Times New Roman" w:cs="Times New Roman"/>
          <w:sz w:val="24"/>
          <w:szCs w:val="24"/>
          <w:lang w:val="en-US"/>
        </w:rPr>
        <w:t xml:space="preserve">. </w:t>
      </w:r>
      <w:r w:rsidR="00BB60F7">
        <w:rPr>
          <w:rFonts w:ascii="Times New Roman" w:hAnsi="Times New Roman" w:cs="Times New Roman"/>
          <w:sz w:val="24"/>
          <w:szCs w:val="24"/>
          <w:lang w:val="en-US"/>
        </w:rPr>
        <w:t>A</w:t>
      </w:r>
      <w:r w:rsidRPr="008E7AD3">
        <w:rPr>
          <w:rFonts w:ascii="Times New Roman" w:hAnsi="Times New Roman" w:cs="Times New Roman"/>
          <w:sz w:val="24"/>
          <w:szCs w:val="24"/>
          <w:lang w:val="en-US"/>
        </w:rPr>
        <w:t xml:space="preserve"> party subject to ban proceedings may see its room for </w:t>
      </w:r>
      <w:proofErr w:type="spellStart"/>
      <w:r w:rsidRPr="008E7AD3">
        <w:rPr>
          <w:rFonts w:ascii="Times New Roman" w:hAnsi="Times New Roman" w:cs="Times New Roman"/>
          <w:sz w:val="24"/>
          <w:szCs w:val="24"/>
          <w:lang w:val="en-US"/>
        </w:rPr>
        <w:t>manoeuvre</w:t>
      </w:r>
      <w:proofErr w:type="spellEnd"/>
      <w:r w:rsidRPr="008E7AD3">
        <w:rPr>
          <w:rFonts w:ascii="Times New Roman" w:hAnsi="Times New Roman" w:cs="Times New Roman"/>
          <w:sz w:val="24"/>
          <w:szCs w:val="24"/>
          <w:lang w:val="en-US"/>
        </w:rPr>
        <w:t xml:space="preserve">, its visibility and </w:t>
      </w:r>
      <w:proofErr w:type="spellStart"/>
      <w:r w:rsidRPr="008E7AD3">
        <w:rPr>
          <w:rFonts w:ascii="Times New Roman" w:hAnsi="Times New Roman" w:cs="Times New Roman"/>
          <w:sz w:val="24"/>
          <w:szCs w:val="24"/>
          <w:lang w:val="en-US"/>
        </w:rPr>
        <w:t>mobilising</w:t>
      </w:r>
      <w:proofErr w:type="spellEnd"/>
      <w:r w:rsidRPr="008E7AD3">
        <w:rPr>
          <w:rFonts w:ascii="Times New Roman" w:hAnsi="Times New Roman" w:cs="Times New Roman"/>
          <w:sz w:val="24"/>
          <w:szCs w:val="24"/>
          <w:lang w:val="en-US"/>
        </w:rPr>
        <w:t xml:space="preserve"> capacity severely curtailed by reductions in its </w:t>
      </w:r>
      <w:proofErr w:type="spellStart"/>
      <w:r w:rsidRPr="008E7AD3">
        <w:rPr>
          <w:rFonts w:ascii="Times New Roman" w:hAnsi="Times New Roman" w:cs="Times New Roman"/>
          <w:sz w:val="24"/>
          <w:szCs w:val="24"/>
          <w:lang w:val="en-US"/>
        </w:rPr>
        <w:t>organisational</w:t>
      </w:r>
      <w:proofErr w:type="spellEnd"/>
      <w:r w:rsidRPr="008E7AD3">
        <w:rPr>
          <w:rFonts w:ascii="Times New Roman" w:hAnsi="Times New Roman" w:cs="Times New Roman"/>
          <w:sz w:val="24"/>
          <w:szCs w:val="24"/>
          <w:lang w:val="en-US"/>
        </w:rPr>
        <w:t xml:space="preserve"> and financial resources, access to the media and through </w:t>
      </w:r>
      <w:proofErr w:type="spellStart"/>
      <w:r w:rsidRPr="008E7AD3">
        <w:rPr>
          <w:rFonts w:ascii="Times New Roman" w:hAnsi="Times New Roman" w:cs="Times New Roman"/>
          <w:sz w:val="24"/>
          <w:szCs w:val="24"/>
          <w:lang w:val="en-US"/>
        </w:rPr>
        <w:t>stigmatisation</w:t>
      </w:r>
      <w:proofErr w:type="spellEnd"/>
      <w:r w:rsidRPr="008E7AD3">
        <w:rPr>
          <w:rFonts w:ascii="Times New Roman" w:hAnsi="Times New Roman" w:cs="Times New Roman"/>
          <w:sz w:val="24"/>
          <w:szCs w:val="24"/>
          <w:lang w:val="en-US"/>
        </w:rPr>
        <w:t xml:space="preserve">. Those who continue their association may face criminal prosecution, limits on employment or truncated political careers. Moreover, as Koopmans argues, a party ban is an ‘act of strategic communication in the public sphere’ which, under certain conditions, may serve to deter people who consider committing a similar offence and helps </w:t>
      </w:r>
      <w:proofErr w:type="spellStart"/>
      <w:r w:rsidRPr="008E7AD3">
        <w:rPr>
          <w:rFonts w:ascii="Times New Roman" w:hAnsi="Times New Roman" w:cs="Times New Roman"/>
          <w:sz w:val="24"/>
          <w:szCs w:val="24"/>
          <w:lang w:val="en-US"/>
        </w:rPr>
        <w:t>socialise</w:t>
      </w:r>
      <w:proofErr w:type="spellEnd"/>
      <w:r w:rsidRPr="008E7AD3">
        <w:rPr>
          <w:rFonts w:ascii="Times New Roman" w:hAnsi="Times New Roman" w:cs="Times New Roman"/>
          <w:sz w:val="24"/>
          <w:szCs w:val="24"/>
          <w:lang w:val="en-US"/>
        </w:rPr>
        <w:t xml:space="preserve"> citizens against extremist </w:t>
      </w:r>
      <w:r w:rsidRPr="008E7AD3">
        <w:rPr>
          <w:rFonts w:ascii="Times New Roman" w:hAnsi="Times New Roman" w:cs="Times New Roman"/>
          <w:sz w:val="24"/>
          <w:szCs w:val="24"/>
          <w:lang w:val="en-US"/>
        </w:rPr>
        <w:lastRenderedPageBreak/>
        <w:t>orientations by rewarding and satisfying those who</w:t>
      </w:r>
      <w:r w:rsidR="00FC1083">
        <w:rPr>
          <w:rFonts w:ascii="Times New Roman" w:hAnsi="Times New Roman" w:cs="Times New Roman"/>
          <w:sz w:val="24"/>
          <w:szCs w:val="24"/>
          <w:lang w:val="en-US"/>
        </w:rPr>
        <w:t xml:space="preserve"> refrain from breaking the rule (Koopmans, 2005, 61.</w:t>
      </w:r>
      <w:r w:rsidRPr="008E7AD3">
        <w:rPr>
          <w:rFonts w:ascii="Times New Roman" w:hAnsi="Times New Roman" w:cs="Times New Roman"/>
          <w:sz w:val="24"/>
          <w:szCs w:val="24"/>
          <w:lang w:val="en-US"/>
        </w:rPr>
        <w:t xml:space="preserve"> </w:t>
      </w:r>
    </w:p>
    <w:p w:rsidR="00F80C5B" w:rsidRDefault="008E7AD3" w:rsidP="00F80C5B">
      <w:pPr>
        <w:spacing w:line="360" w:lineRule="auto"/>
        <w:rPr>
          <w:rFonts w:ascii="Times New Roman" w:hAnsi="Times New Roman" w:cs="Times New Roman"/>
          <w:sz w:val="24"/>
          <w:szCs w:val="24"/>
          <w:lang w:val="en-US"/>
        </w:rPr>
      </w:pPr>
      <w:r w:rsidRPr="00F80C5B">
        <w:rPr>
          <w:rFonts w:ascii="Times New Roman" w:hAnsi="Times New Roman" w:cs="Times New Roman"/>
          <w:sz w:val="24"/>
          <w:szCs w:val="24"/>
          <w:lang w:val="en-US"/>
        </w:rPr>
        <w:t>Given its centrality for the conduct of democratic politics, the effects of party bans on party system</w:t>
      </w:r>
      <w:r w:rsidR="00820741">
        <w:rPr>
          <w:rFonts w:ascii="Times New Roman" w:hAnsi="Times New Roman" w:cs="Times New Roman"/>
          <w:sz w:val="24"/>
          <w:szCs w:val="24"/>
          <w:lang w:val="en-US"/>
        </w:rPr>
        <w:t>s</w:t>
      </w:r>
      <w:r w:rsidRPr="00F80C5B">
        <w:rPr>
          <w:rFonts w:ascii="Times New Roman" w:hAnsi="Times New Roman" w:cs="Times New Roman"/>
          <w:sz w:val="24"/>
          <w:szCs w:val="24"/>
          <w:lang w:val="en-US"/>
        </w:rPr>
        <w:t xml:space="preserve"> is a particularly important question in this broader debate. </w:t>
      </w:r>
      <w:r w:rsidR="00F00E63">
        <w:rPr>
          <w:rFonts w:ascii="Times New Roman" w:hAnsi="Times New Roman" w:cs="Times New Roman"/>
          <w:sz w:val="24"/>
          <w:szCs w:val="24"/>
          <w:lang w:val="en-US"/>
        </w:rPr>
        <w:t xml:space="preserve">However, the effect of party bans on party systems remains </w:t>
      </w:r>
      <w:r w:rsidR="00F80C5B" w:rsidRPr="00F80C5B">
        <w:rPr>
          <w:rFonts w:ascii="Times New Roman" w:hAnsi="Times New Roman" w:cs="Times New Roman"/>
          <w:sz w:val="24"/>
          <w:szCs w:val="24"/>
          <w:lang w:val="en-US"/>
        </w:rPr>
        <w:t>under</w:t>
      </w:r>
      <w:r w:rsidR="00BE5293">
        <w:rPr>
          <w:rFonts w:ascii="Times New Roman" w:hAnsi="Times New Roman" w:cs="Times New Roman"/>
          <w:sz w:val="24"/>
          <w:szCs w:val="24"/>
          <w:lang w:val="en-US"/>
        </w:rPr>
        <w:t>-</w:t>
      </w:r>
      <w:r w:rsidR="00F80C5B" w:rsidRPr="00F80C5B">
        <w:rPr>
          <w:rFonts w:ascii="Times New Roman" w:hAnsi="Times New Roman" w:cs="Times New Roman"/>
          <w:sz w:val="24"/>
          <w:szCs w:val="24"/>
          <w:lang w:val="en-US"/>
        </w:rPr>
        <w:t xml:space="preserve">researched. </w:t>
      </w:r>
      <w:r w:rsidR="00F00E63">
        <w:rPr>
          <w:rFonts w:ascii="Times New Roman" w:hAnsi="Times New Roman" w:cs="Times New Roman"/>
          <w:sz w:val="24"/>
          <w:szCs w:val="24"/>
          <w:lang w:val="en-US"/>
        </w:rPr>
        <w:t>This is somewhat surprising, given that t</w:t>
      </w:r>
      <w:r w:rsidR="00F80C5B">
        <w:rPr>
          <w:rFonts w:ascii="Times New Roman" w:hAnsi="Times New Roman" w:cs="Times New Roman"/>
          <w:sz w:val="24"/>
          <w:szCs w:val="24"/>
          <w:lang w:val="en-US"/>
        </w:rPr>
        <w:t>he r</w:t>
      </w:r>
      <w:r w:rsidR="00F80C5B" w:rsidRPr="00F80C5B">
        <w:rPr>
          <w:rFonts w:ascii="Times New Roman" w:hAnsi="Times New Roman" w:cs="Times New Roman"/>
          <w:sz w:val="24"/>
          <w:szCs w:val="24"/>
          <w:lang w:val="en-US"/>
        </w:rPr>
        <w:t>egulation of the internal organizational structure and activities of political parties has increased considerably in recent decades</w:t>
      </w:r>
      <w:r w:rsidR="00F80C5B">
        <w:rPr>
          <w:rFonts w:ascii="Times New Roman" w:hAnsi="Times New Roman" w:cs="Times New Roman"/>
          <w:sz w:val="24"/>
          <w:szCs w:val="24"/>
          <w:lang w:val="en-US"/>
        </w:rPr>
        <w:t xml:space="preserve">. </w:t>
      </w:r>
      <w:r w:rsidR="00820741">
        <w:rPr>
          <w:rFonts w:ascii="Times New Roman" w:hAnsi="Times New Roman" w:cs="Times New Roman"/>
          <w:sz w:val="24"/>
          <w:szCs w:val="24"/>
          <w:lang w:val="en-US"/>
        </w:rPr>
        <w:t>Constitutions and party laws may require parties to fulfil certain formal conditions (e</w:t>
      </w:r>
      <w:r w:rsidR="00BE5293">
        <w:rPr>
          <w:rFonts w:ascii="Times New Roman" w:hAnsi="Times New Roman" w:cs="Times New Roman"/>
          <w:sz w:val="24"/>
          <w:szCs w:val="24"/>
          <w:lang w:val="en-US"/>
        </w:rPr>
        <w:t>.</w:t>
      </w:r>
      <w:r w:rsidR="00820741">
        <w:rPr>
          <w:rFonts w:ascii="Times New Roman" w:hAnsi="Times New Roman" w:cs="Times New Roman"/>
          <w:sz w:val="24"/>
          <w:szCs w:val="24"/>
          <w:lang w:val="en-US"/>
        </w:rPr>
        <w:t>g</w:t>
      </w:r>
      <w:r w:rsidR="00BE5293">
        <w:rPr>
          <w:rFonts w:ascii="Times New Roman" w:hAnsi="Times New Roman" w:cs="Times New Roman"/>
          <w:sz w:val="24"/>
          <w:szCs w:val="24"/>
          <w:lang w:val="en-US"/>
        </w:rPr>
        <w:t>.</w:t>
      </w:r>
      <w:r w:rsidR="00820741">
        <w:rPr>
          <w:rFonts w:ascii="Times New Roman" w:hAnsi="Times New Roman" w:cs="Times New Roman"/>
          <w:sz w:val="24"/>
          <w:szCs w:val="24"/>
          <w:lang w:val="en-US"/>
        </w:rPr>
        <w:t xml:space="preserve"> frequency of party congresses, compulsory majorities, creation of internal </w:t>
      </w:r>
      <w:r w:rsidR="00F00E63">
        <w:rPr>
          <w:rFonts w:ascii="Times New Roman" w:hAnsi="Times New Roman" w:cs="Times New Roman"/>
          <w:sz w:val="24"/>
          <w:szCs w:val="24"/>
          <w:lang w:val="en-US"/>
        </w:rPr>
        <w:t>j</w:t>
      </w:r>
      <w:r w:rsidR="00BE5293">
        <w:rPr>
          <w:rFonts w:ascii="Times New Roman" w:hAnsi="Times New Roman" w:cs="Times New Roman"/>
          <w:sz w:val="24"/>
          <w:szCs w:val="24"/>
          <w:lang w:val="en-US"/>
        </w:rPr>
        <w:t>urisdic</w:t>
      </w:r>
      <w:r w:rsidR="00820741">
        <w:rPr>
          <w:rFonts w:ascii="Times New Roman" w:hAnsi="Times New Roman" w:cs="Times New Roman"/>
          <w:sz w:val="24"/>
          <w:szCs w:val="24"/>
          <w:lang w:val="en-US"/>
        </w:rPr>
        <w:t>tional/arbitration bodies, etc</w:t>
      </w:r>
      <w:r w:rsidR="00BE5293">
        <w:rPr>
          <w:rFonts w:ascii="Times New Roman" w:hAnsi="Times New Roman" w:cs="Times New Roman"/>
          <w:sz w:val="24"/>
          <w:szCs w:val="24"/>
          <w:lang w:val="en-US"/>
        </w:rPr>
        <w:t>.</w:t>
      </w:r>
      <w:r w:rsidR="00820741">
        <w:rPr>
          <w:rFonts w:ascii="Times New Roman" w:hAnsi="Times New Roman" w:cs="Times New Roman"/>
          <w:sz w:val="24"/>
          <w:szCs w:val="24"/>
          <w:lang w:val="en-US"/>
        </w:rPr>
        <w:t xml:space="preserve">) and respect democratic principles and the constitutional order. Failure to meet such requirements may lead to punishment or dissolution. </w:t>
      </w:r>
      <w:r w:rsidR="00F00E63">
        <w:rPr>
          <w:rFonts w:ascii="Times New Roman" w:hAnsi="Times New Roman" w:cs="Times New Roman"/>
          <w:sz w:val="24"/>
          <w:szCs w:val="24"/>
          <w:lang w:val="en-US"/>
        </w:rPr>
        <w:t xml:space="preserve"> </w:t>
      </w:r>
      <w:r w:rsidR="00F00E63" w:rsidRPr="00BB60F7">
        <w:rPr>
          <w:rFonts w:ascii="Times New Roman" w:hAnsi="Times New Roman" w:cs="Times New Roman"/>
          <w:sz w:val="24"/>
          <w:szCs w:val="24"/>
          <w:lang w:val="en-US"/>
        </w:rPr>
        <w:t xml:space="preserve">Such measures may have consequences for party system stability (Casal </w:t>
      </w:r>
      <w:proofErr w:type="spellStart"/>
      <w:r w:rsidR="00F00E63" w:rsidRPr="00BB60F7">
        <w:rPr>
          <w:rFonts w:ascii="Times New Roman" w:hAnsi="Times New Roman" w:cs="Times New Roman"/>
          <w:sz w:val="24"/>
          <w:szCs w:val="24"/>
          <w:lang w:val="en-US"/>
        </w:rPr>
        <w:t>Bértoa</w:t>
      </w:r>
      <w:proofErr w:type="spellEnd"/>
      <w:r w:rsidR="00F00E63" w:rsidRPr="00BB60F7">
        <w:rPr>
          <w:rFonts w:ascii="Times New Roman" w:hAnsi="Times New Roman" w:cs="Times New Roman"/>
          <w:sz w:val="24"/>
          <w:szCs w:val="24"/>
          <w:lang w:val="en-US"/>
        </w:rPr>
        <w:t xml:space="preserve"> et. al. 2014</w:t>
      </w:r>
      <w:r w:rsidR="00BE5293">
        <w:rPr>
          <w:rFonts w:ascii="Times New Roman" w:hAnsi="Times New Roman" w:cs="Times New Roman"/>
          <w:sz w:val="24"/>
          <w:szCs w:val="24"/>
          <w:lang w:val="en-US"/>
        </w:rPr>
        <w:t>b</w:t>
      </w:r>
      <w:r w:rsidR="00F00E63" w:rsidRPr="00BB60F7">
        <w:rPr>
          <w:rFonts w:ascii="Times New Roman" w:hAnsi="Times New Roman" w:cs="Times New Roman"/>
          <w:sz w:val="24"/>
          <w:szCs w:val="24"/>
          <w:lang w:val="en-US"/>
        </w:rPr>
        <w:t>, Müller, 1993; Smith 1986).</w:t>
      </w:r>
      <w:r w:rsidR="00F80C5B" w:rsidRPr="00BB60F7">
        <w:rPr>
          <w:rFonts w:ascii="Times New Roman" w:hAnsi="Times New Roman" w:cs="Times New Roman"/>
          <w:sz w:val="24"/>
          <w:szCs w:val="24"/>
          <w:lang w:val="en-US"/>
        </w:rPr>
        <w:t xml:space="preserve"> </w:t>
      </w:r>
      <w:r w:rsidR="00F00E63">
        <w:rPr>
          <w:rFonts w:ascii="Times New Roman" w:hAnsi="Times New Roman" w:cs="Times New Roman"/>
          <w:sz w:val="24"/>
          <w:szCs w:val="24"/>
          <w:lang w:val="en-US"/>
        </w:rPr>
        <w:t>S</w:t>
      </w:r>
      <w:r w:rsidR="00362FFF">
        <w:rPr>
          <w:rFonts w:ascii="Times New Roman" w:hAnsi="Times New Roman" w:cs="Times New Roman"/>
          <w:sz w:val="24"/>
          <w:szCs w:val="24"/>
          <w:lang w:val="en-US"/>
        </w:rPr>
        <w:t>c</w:t>
      </w:r>
      <w:r w:rsidR="00F80C5B" w:rsidRPr="00F80C5B">
        <w:rPr>
          <w:rFonts w:ascii="Times New Roman" w:hAnsi="Times New Roman" w:cs="Times New Roman"/>
          <w:sz w:val="24"/>
          <w:szCs w:val="24"/>
          <w:lang w:val="en-US"/>
        </w:rPr>
        <w:t xml:space="preserve">holars </w:t>
      </w:r>
      <w:r w:rsidR="00362FFF">
        <w:rPr>
          <w:rFonts w:ascii="Times New Roman" w:hAnsi="Times New Roman" w:cs="Times New Roman"/>
          <w:sz w:val="24"/>
          <w:szCs w:val="24"/>
          <w:lang w:val="en-US"/>
        </w:rPr>
        <w:t xml:space="preserve">examining party regulation </w:t>
      </w:r>
      <w:r w:rsidR="00F80C5B" w:rsidRPr="00F80C5B">
        <w:rPr>
          <w:rFonts w:ascii="Times New Roman" w:hAnsi="Times New Roman" w:cs="Times New Roman"/>
          <w:sz w:val="24"/>
          <w:szCs w:val="24"/>
          <w:lang w:val="en-US"/>
        </w:rPr>
        <w:t>ha</w:t>
      </w:r>
      <w:r w:rsidR="00BB60F7">
        <w:rPr>
          <w:rFonts w:ascii="Times New Roman" w:hAnsi="Times New Roman" w:cs="Times New Roman"/>
          <w:sz w:val="24"/>
          <w:szCs w:val="24"/>
          <w:lang w:val="en-US"/>
        </w:rPr>
        <w:t>ve only recently begun to consider</w:t>
      </w:r>
      <w:r w:rsidR="00F80C5B" w:rsidRPr="00F80C5B">
        <w:rPr>
          <w:rFonts w:ascii="Times New Roman" w:hAnsi="Times New Roman" w:cs="Times New Roman"/>
          <w:sz w:val="24"/>
          <w:szCs w:val="24"/>
          <w:lang w:val="en-US"/>
        </w:rPr>
        <w:t xml:space="preserve"> empirical and normative</w:t>
      </w:r>
      <w:r w:rsidR="00F80C5B">
        <w:rPr>
          <w:rFonts w:ascii="Times New Roman" w:hAnsi="Times New Roman" w:cs="Times New Roman"/>
          <w:sz w:val="24"/>
          <w:szCs w:val="24"/>
          <w:lang w:val="en-US"/>
        </w:rPr>
        <w:t xml:space="preserve"> dimensions of </w:t>
      </w:r>
      <w:r w:rsidR="00F80C5B" w:rsidRPr="00F80C5B">
        <w:rPr>
          <w:rFonts w:ascii="Times New Roman" w:hAnsi="Times New Roman" w:cs="Times New Roman"/>
          <w:sz w:val="24"/>
          <w:szCs w:val="24"/>
          <w:lang w:val="en-US"/>
        </w:rPr>
        <w:t xml:space="preserve">party regulation in a systematic manner (e.g. </w:t>
      </w:r>
      <w:proofErr w:type="spellStart"/>
      <w:r w:rsidR="00F80C5B" w:rsidRPr="00F80C5B">
        <w:rPr>
          <w:rFonts w:ascii="Times New Roman" w:hAnsi="Times New Roman" w:cs="Times New Roman"/>
          <w:sz w:val="24"/>
          <w:szCs w:val="24"/>
          <w:lang w:val="en-US"/>
        </w:rPr>
        <w:t>Biezen</w:t>
      </w:r>
      <w:proofErr w:type="spellEnd"/>
      <w:r w:rsidR="00F80C5B" w:rsidRPr="00F80C5B">
        <w:rPr>
          <w:rFonts w:ascii="Times New Roman" w:hAnsi="Times New Roman" w:cs="Times New Roman"/>
          <w:sz w:val="24"/>
          <w:szCs w:val="24"/>
          <w:lang w:val="en-US"/>
        </w:rPr>
        <w:t xml:space="preserve"> and Casal </w:t>
      </w:r>
      <w:proofErr w:type="spellStart"/>
      <w:r w:rsidR="00F80C5B" w:rsidRPr="00F80C5B">
        <w:rPr>
          <w:rFonts w:ascii="Times New Roman" w:hAnsi="Times New Roman" w:cs="Times New Roman"/>
          <w:sz w:val="24"/>
          <w:szCs w:val="24"/>
          <w:lang w:val="en-US"/>
        </w:rPr>
        <w:t>Bértoa</w:t>
      </w:r>
      <w:proofErr w:type="spellEnd"/>
      <w:r w:rsidR="00F80C5B" w:rsidRPr="00F80C5B">
        <w:rPr>
          <w:rFonts w:ascii="Times New Roman" w:hAnsi="Times New Roman" w:cs="Times New Roman"/>
          <w:sz w:val="24"/>
          <w:szCs w:val="24"/>
          <w:lang w:val="en-US"/>
        </w:rPr>
        <w:t xml:space="preserve">, 2014; </w:t>
      </w:r>
      <w:proofErr w:type="spellStart"/>
      <w:r w:rsidR="00F80C5B" w:rsidRPr="00F80C5B">
        <w:rPr>
          <w:rFonts w:ascii="Times New Roman" w:hAnsi="Times New Roman" w:cs="Times New Roman"/>
          <w:sz w:val="24"/>
          <w:szCs w:val="24"/>
          <w:lang w:val="en-US"/>
        </w:rPr>
        <w:t>Biezen</w:t>
      </w:r>
      <w:proofErr w:type="spellEnd"/>
      <w:r w:rsidR="00F80C5B" w:rsidRPr="00F80C5B">
        <w:rPr>
          <w:rFonts w:ascii="Times New Roman" w:hAnsi="Times New Roman" w:cs="Times New Roman"/>
          <w:sz w:val="24"/>
          <w:szCs w:val="24"/>
          <w:lang w:val="en-US"/>
        </w:rPr>
        <w:t xml:space="preserve"> &amp; ten </w:t>
      </w:r>
      <w:proofErr w:type="spellStart"/>
      <w:r w:rsidR="00F80C5B" w:rsidRPr="00F80C5B">
        <w:rPr>
          <w:rFonts w:ascii="Times New Roman" w:hAnsi="Times New Roman" w:cs="Times New Roman"/>
          <w:sz w:val="24"/>
          <w:szCs w:val="24"/>
          <w:lang w:val="en-US"/>
        </w:rPr>
        <w:t>Napel</w:t>
      </w:r>
      <w:proofErr w:type="spellEnd"/>
      <w:r w:rsidR="00F80C5B" w:rsidRPr="00F80C5B">
        <w:rPr>
          <w:rFonts w:ascii="Times New Roman" w:hAnsi="Times New Roman" w:cs="Times New Roman"/>
          <w:sz w:val="24"/>
          <w:szCs w:val="24"/>
          <w:lang w:val="en-US"/>
        </w:rPr>
        <w:t xml:space="preserve"> 2014; Casal </w:t>
      </w:r>
      <w:proofErr w:type="spellStart"/>
      <w:r w:rsidR="00F80C5B" w:rsidRPr="00F80C5B">
        <w:rPr>
          <w:rFonts w:ascii="Times New Roman" w:hAnsi="Times New Roman" w:cs="Times New Roman"/>
          <w:sz w:val="24"/>
          <w:szCs w:val="24"/>
          <w:lang w:val="en-US"/>
        </w:rPr>
        <w:t>Bértoa</w:t>
      </w:r>
      <w:proofErr w:type="spellEnd"/>
      <w:r w:rsidR="00F80C5B" w:rsidRPr="00F80C5B">
        <w:rPr>
          <w:rFonts w:ascii="Times New Roman" w:hAnsi="Times New Roman" w:cs="Times New Roman"/>
          <w:sz w:val="24"/>
          <w:szCs w:val="24"/>
          <w:lang w:val="en-US"/>
        </w:rPr>
        <w:t xml:space="preserve"> and </w:t>
      </w:r>
      <w:proofErr w:type="spellStart"/>
      <w:r w:rsidR="00F80C5B" w:rsidRPr="00F80C5B">
        <w:rPr>
          <w:rFonts w:ascii="Times New Roman" w:hAnsi="Times New Roman" w:cs="Times New Roman"/>
          <w:sz w:val="24"/>
          <w:szCs w:val="24"/>
          <w:lang w:val="en-US"/>
        </w:rPr>
        <w:t>Biezen</w:t>
      </w:r>
      <w:proofErr w:type="spellEnd"/>
      <w:r w:rsidR="00F80C5B" w:rsidRPr="00F80C5B">
        <w:rPr>
          <w:rFonts w:ascii="Times New Roman" w:hAnsi="Times New Roman" w:cs="Times New Roman"/>
          <w:sz w:val="24"/>
          <w:szCs w:val="24"/>
          <w:lang w:val="en-US"/>
        </w:rPr>
        <w:t xml:space="preserve">, forthcoming; </w:t>
      </w:r>
      <w:r w:rsidR="00362FFF">
        <w:rPr>
          <w:rFonts w:ascii="Times New Roman" w:hAnsi="Times New Roman" w:cs="Times New Roman"/>
          <w:sz w:val="24"/>
          <w:szCs w:val="24"/>
          <w:lang w:val="en-US"/>
        </w:rPr>
        <w:t xml:space="preserve">Casal </w:t>
      </w:r>
      <w:proofErr w:type="spellStart"/>
      <w:r w:rsidR="00362FFF">
        <w:rPr>
          <w:rFonts w:ascii="Times New Roman" w:hAnsi="Times New Roman" w:cs="Times New Roman"/>
          <w:sz w:val="24"/>
          <w:szCs w:val="24"/>
          <w:lang w:val="en-US"/>
        </w:rPr>
        <w:t>Bértoa</w:t>
      </w:r>
      <w:proofErr w:type="spellEnd"/>
      <w:r w:rsidR="00362FFF">
        <w:rPr>
          <w:rFonts w:ascii="Times New Roman" w:hAnsi="Times New Roman" w:cs="Times New Roman"/>
          <w:sz w:val="24"/>
          <w:szCs w:val="24"/>
          <w:lang w:val="en-US"/>
        </w:rPr>
        <w:t xml:space="preserve"> and </w:t>
      </w:r>
      <w:proofErr w:type="spellStart"/>
      <w:r w:rsidR="00362FFF">
        <w:rPr>
          <w:rFonts w:ascii="Times New Roman" w:hAnsi="Times New Roman" w:cs="Times New Roman"/>
          <w:sz w:val="24"/>
          <w:szCs w:val="24"/>
          <w:lang w:val="en-US"/>
        </w:rPr>
        <w:t>Spirova</w:t>
      </w:r>
      <w:proofErr w:type="spellEnd"/>
      <w:r w:rsidR="00362FFF">
        <w:rPr>
          <w:rFonts w:ascii="Times New Roman" w:hAnsi="Times New Roman" w:cs="Times New Roman"/>
          <w:sz w:val="24"/>
          <w:szCs w:val="24"/>
          <w:lang w:val="en-US"/>
        </w:rPr>
        <w:t xml:space="preserve"> 2013). </w:t>
      </w:r>
      <w:r w:rsidR="00F00E63">
        <w:rPr>
          <w:rFonts w:ascii="Times New Roman" w:hAnsi="Times New Roman" w:cs="Times New Roman"/>
          <w:sz w:val="24"/>
          <w:szCs w:val="24"/>
          <w:lang w:val="en-US"/>
        </w:rPr>
        <w:t xml:space="preserve">And yet, </w:t>
      </w:r>
      <w:r w:rsidR="00362FFF">
        <w:rPr>
          <w:rFonts w:ascii="Times New Roman" w:hAnsi="Times New Roman" w:cs="Times New Roman"/>
          <w:sz w:val="24"/>
          <w:szCs w:val="24"/>
          <w:lang w:val="en-US"/>
        </w:rPr>
        <w:t xml:space="preserve">as </w:t>
      </w:r>
      <w:proofErr w:type="spellStart"/>
      <w:r w:rsidR="00F80C5B" w:rsidRPr="00F80C5B">
        <w:rPr>
          <w:rFonts w:ascii="Times New Roman" w:hAnsi="Times New Roman" w:cs="Times New Roman"/>
          <w:sz w:val="24"/>
          <w:szCs w:val="24"/>
          <w:lang w:val="en-US"/>
        </w:rPr>
        <w:t>Biezen</w:t>
      </w:r>
      <w:proofErr w:type="spellEnd"/>
      <w:r w:rsidR="00F80C5B" w:rsidRPr="00F80C5B">
        <w:rPr>
          <w:rFonts w:ascii="Times New Roman" w:hAnsi="Times New Roman" w:cs="Times New Roman"/>
          <w:sz w:val="24"/>
          <w:szCs w:val="24"/>
          <w:lang w:val="en-US"/>
        </w:rPr>
        <w:t xml:space="preserve"> and Casal </w:t>
      </w:r>
      <w:proofErr w:type="spellStart"/>
      <w:r w:rsidR="00F80C5B" w:rsidRPr="00F80C5B">
        <w:rPr>
          <w:rFonts w:ascii="Times New Roman" w:hAnsi="Times New Roman" w:cs="Times New Roman"/>
          <w:sz w:val="24"/>
          <w:szCs w:val="24"/>
          <w:lang w:val="en-US"/>
        </w:rPr>
        <w:t>Bértoa</w:t>
      </w:r>
      <w:proofErr w:type="spellEnd"/>
      <w:r w:rsidR="00F80C5B" w:rsidRPr="00F80C5B">
        <w:rPr>
          <w:rFonts w:ascii="Times New Roman" w:hAnsi="Times New Roman" w:cs="Times New Roman"/>
          <w:sz w:val="24"/>
          <w:szCs w:val="24"/>
          <w:lang w:val="en-US"/>
        </w:rPr>
        <w:t xml:space="preserve"> (2014)</w:t>
      </w:r>
      <w:r w:rsidR="00F80C5B">
        <w:rPr>
          <w:rFonts w:ascii="Times New Roman" w:hAnsi="Times New Roman" w:cs="Times New Roman"/>
          <w:sz w:val="24"/>
          <w:szCs w:val="24"/>
          <w:lang w:val="en-US"/>
        </w:rPr>
        <w:t xml:space="preserve"> observe,</w:t>
      </w:r>
      <w:r w:rsidR="00362FFF">
        <w:rPr>
          <w:rFonts w:ascii="Times New Roman" w:hAnsi="Times New Roman" w:cs="Times New Roman"/>
          <w:sz w:val="24"/>
          <w:szCs w:val="24"/>
          <w:lang w:val="en-US"/>
        </w:rPr>
        <w:t xml:space="preserve"> this literature tends to neglect </w:t>
      </w:r>
      <w:r w:rsidR="00F80C5B">
        <w:rPr>
          <w:rFonts w:ascii="Times New Roman" w:hAnsi="Times New Roman" w:cs="Times New Roman"/>
          <w:sz w:val="24"/>
          <w:szCs w:val="24"/>
          <w:lang w:val="en-US"/>
        </w:rPr>
        <w:t>the effects of party law on democratic politics</w:t>
      </w:r>
      <w:r w:rsidR="00F80C5B" w:rsidRPr="00F80C5B">
        <w:rPr>
          <w:rFonts w:ascii="Times New Roman" w:hAnsi="Times New Roman" w:cs="Times New Roman"/>
          <w:sz w:val="24"/>
          <w:szCs w:val="24"/>
          <w:lang w:val="en-US"/>
        </w:rPr>
        <w:t xml:space="preserve">. </w:t>
      </w:r>
    </w:p>
    <w:p w:rsidR="008C492D" w:rsidRDefault="009D6698" w:rsidP="0050734A">
      <w:pPr>
        <w:spacing w:after="0" w:line="360" w:lineRule="auto"/>
        <w:rPr>
          <w:rFonts w:ascii="Times New Roman" w:hAnsi="Times New Roman" w:cs="Times New Roman"/>
          <w:sz w:val="24"/>
          <w:szCs w:val="24"/>
          <w:lang w:val="en-US"/>
        </w:rPr>
      </w:pPr>
      <w:r w:rsidRPr="009D6698">
        <w:rPr>
          <w:rFonts w:ascii="Times New Roman" w:hAnsi="Times New Roman" w:cs="Times New Roman"/>
          <w:sz w:val="24"/>
          <w:szCs w:val="24"/>
          <w:lang w:val="en-US"/>
        </w:rPr>
        <w:t>In this paper</w:t>
      </w:r>
      <w:r>
        <w:rPr>
          <w:rFonts w:ascii="Times New Roman" w:hAnsi="Times New Roman" w:cs="Times New Roman"/>
          <w:sz w:val="24"/>
          <w:szCs w:val="24"/>
          <w:lang w:val="en-US"/>
        </w:rPr>
        <w:t xml:space="preserve"> we</w:t>
      </w:r>
      <w:r w:rsidR="00F44E79">
        <w:rPr>
          <w:rFonts w:ascii="Times New Roman" w:hAnsi="Times New Roman" w:cs="Times New Roman"/>
          <w:sz w:val="24"/>
          <w:szCs w:val="24"/>
          <w:lang w:val="en-US"/>
        </w:rPr>
        <w:t xml:space="preserve"> aim to</w:t>
      </w:r>
      <w:r>
        <w:rPr>
          <w:rFonts w:ascii="Times New Roman" w:hAnsi="Times New Roman" w:cs="Times New Roman"/>
          <w:sz w:val="24"/>
          <w:szCs w:val="24"/>
          <w:lang w:val="en-US"/>
        </w:rPr>
        <w:t xml:space="preserve"> address these shortcomings</w:t>
      </w:r>
      <w:r w:rsidR="008C492D">
        <w:rPr>
          <w:rFonts w:ascii="Times New Roman" w:hAnsi="Times New Roman" w:cs="Times New Roman"/>
          <w:sz w:val="24"/>
          <w:szCs w:val="24"/>
          <w:lang w:val="en-US"/>
        </w:rPr>
        <w:t xml:space="preserve">. We begin </w:t>
      </w:r>
      <w:r w:rsidR="00F44E79">
        <w:rPr>
          <w:rFonts w:ascii="Times New Roman" w:hAnsi="Times New Roman" w:cs="Times New Roman"/>
          <w:sz w:val="24"/>
          <w:szCs w:val="24"/>
          <w:lang w:val="en-US"/>
        </w:rPr>
        <w:t xml:space="preserve">by </w:t>
      </w:r>
      <w:r w:rsidR="008C492D">
        <w:rPr>
          <w:rFonts w:ascii="Times New Roman" w:hAnsi="Times New Roman" w:cs="Times New Roman"/>
          <w:sz w:val="24"/>
          <w:szCs w:val="24"/>
          <w:lang w:val="en-US"/>
        </w:rPr>
        <w:t xml:space="preserve">conducting a survey of banned parties in Europe from 1945 to 2013, </w:t>
      </w:r>
      <w:r w:rsidR="00F44E79">
        <w:rPr>
          <w:rFonts w:ascii="Times New Roman" w:hAnsi="Times New Roman" w:cs="Times New Roman"/>
          <w:sz w:val="24"/>
          <w:szCs w:val="24"/>
          <w:lang w:val="en-US"/>
        </w:rPr>
        <w:t xml:space="preserve">examining </w:t>
      </w:r>
      <w:r w:rsidR="008C492D">
        <w:rPr>
          <w:rFonts w:ascii="Times New Roman" w:hAnsi="Times New Roman" w:cs="Times New Roman"/>
          <w:sz w:val="24"/>
          <w:szCs w:val="24"/>
          <w:lang w:val="en-US"/>
        </w:rPr>
        <w:t xml:space="preserve">various means of categorizing party bans and present </w:t>
      </w:r>
      <w:r w:rsidR="00F44E79">
        <w:rPr>
          <w:rFonts w:ascii="Times New Roman" w:hAnsi="Times New Roman" w:cs="Times New Roman"/>
          <w:sz w:val="24"/>
          <w:szCs w:val="24"/>
          <w:lang w:val="en-US"/>
        </w:rPr>
        <w:t xml:space="preserve">a </w:t>
      </w:r>
      <w:r w:rsidR="008C492D">
        <w:rPr>
          <w:rFonts w:ascii="Times New Roman" w:hAnsi="Times New Roman" w:cs="Times New Roman"/>
          <w:sz w:val="24"/>
          <w:szCs w:val="24"/>
          <w:lang w:val="en-US"/>
        </w:rPr>
        <w:t>party ban typology distinguishing between ‘activist-intolerant’ and ‘</w:t>
      </w:r>
      <w:proofErr w:type="spellStart"/>
      <w:r w:rsidR="008C492D">
        <w:rPr>
          <w:rFonts w:ascii="Times New Roman" w:hAnsi="Times New Roman" w:cs="Times New Roman"/>
          <w:sz w:val="24"/>
          <w:szCs w:val="24"/>
          <w:lang w:val="en-US"/>
        </w:rPr>
        <w:t>abstentionist</w:t>
      </w:r>
      <w:proofErr w:type="spellEnd"/>
      <w:r w:rsidR="008C492D">
        <w:rPr>
          <w:rFonts w:ascii="Times New Roman" w:hAnsi="Times New Roman" w:cs="Times New Roman"/>
          <w:sz w:val="24"/>
          <w:szCs w:val="24"/>
          <w:lang w:val="en-US"/>
        </w:rPr>
        <w:t xml:space="preserve">-tolerant’ democracies. This provides a rationale for the selection of case studies. We then </w:t>
      </w:r>
      <w:r>
        <w:rPr>
          <w:rFonts w:ascii="Times New Roman" w:hAnsi="Times New Roman" w:cs="Times New Roman"/>
          <w:sz w:val="24"/>
          <w:szCs w:val="24"/>
          <w:lang w:val="en-US"/>
        </w:rPr>
        <w:t xml:space="preserve">present a theoretical framework for examining party ban effects on party systems. </w:t>
      </w:r>
      <w:r w:rsidR="00C877AF">
        <w:rPr>
          <w:rFonts w:ascii="Times New Roman" w:hAnsi="Times New Roman" w:cs="Times New Roman"/>
          <w:sz w:val="24"/>
          <w:szCs w:val="24"/>
          <w:lang w:val="en-US"/>
        </w:rPr>
        <w:t xml:space="preserve">In the third part we compare the effects of party ban regulation on party system </w:t>
      </w:r>
      <w:r w:rsidR="00C877AF" w:rsidRPr="0050734A">
        <w:rPr>
          <w:rFonts w:ascii="Times New Roman" w:hAnsi="Times New Roman" w:cs="Times New Roman"/>
          <w:sz w:val="24"/>
          <w:szCs w:val="24"/>
          <w:lang w:val="en-US"/>
        </w:rPr>
        <w:t xml:space="preserve">institutionalization in three cases of ‘activist-intolerant’ party ban regimes, namely Spain, Germany and Turkey. </w:t>
      </w:r>
    </w:p>
    <w:p w:rsidR="008C492D" w:rsidRDefault="008C492D" w:rsidP="008C492D">
      <w:pPr>
        <w:spacing w:after="0" w:line="360" w:lineRule="auto"/>
        <w:rPr>
          <w:rFonts w:ascii="Times New Roman" w:hAnsi="Times New Roman" w:cs="Times New Roman"/>
          <w:b/>
          <w:sz w:val="24"/>
          <w:szCs w:val="24"/>
          <w:lang w:val="en-US"/>
        </w:rPr>
      </w:pPr>
    </w:p>
    <w:p w:rsidR="008C492D" w:rsidRPr="0050734A" w:rsidRDefault="008C492D" w:rsidP="008C492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Classifying party bans</w:t>
      </w:r>
    </w:p>
    <w:p w:rsidR="008C492D" w:rsidRDefault="008C492D" w:rsidP="008C492D">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We now turn to the task of identifying</w:t>
      </w:r>
      <w:r w:rsidRPr="00D8114E">
        <w:rPr>
          <w:rFonts w:ascii="Times New Roman" w:hAnsi="Times New Roman" w:cs="Times New Roman"/>
          <w:sz w:val="24"/>
          <w:szCs w:val="24"/>
          <w:lang w:val="en-US"/>
        </w:rPr>
        <w:t xml:space="preserve"> countries that ban parties and of classifying party ban regimes. These are an important first step</w:t>
      </w:r>
      <w:r>
        <w:rPr>
          <w:rFonts w:ascii="Times New Roman" w:hAnsi="Times New Roman" w:cs="Times New Roman"/>
          <w:sz w:val="24"/>
          <w:szCs w:val="24"/>
          <w:lang w:val="en-US"/>
        </w:rPr>
        <w:t>s</w:t>
      </w:r>
      <w:r w:rsidRPr="00D8114E">
        <w:rPr>
          <w:rFonts w:ascii="Times New Roman" w:hAnsi="Times New Roman" w:cs="Times New Roman"/>
          <w:sz w:val="24"/>
          <w:szCs w:val="24"/>
          <w:lang w:val="en-US"/>
        </w:rPr>
        <w:t xml:space="preserve"> because little </w:t>
      </w:r>
      <w:r>
        <w:rPr>
          <w:rFonts w:ascii="Times New Roman" w:hAnsi="Times New Roman" w:cs="Times New Roman"/>
          <w:sz w:val="24"/>
          <w:szCs w:val="24"/>
          <w:lang w:val="en-US"/>
        </w:rPr>
        <w:t xml:space="preserve">is </w:t>
      </w:r>
      <w:r w:rsidRPr="00D8114E">
        <w:rPr>
          <w:rFonts w:ascii="Times New Roman" w:hAnsi="Times New Roman" w:cs="Times New Roman"/>
          <w:sz w:val="24"/>
          <w:szCs w:val="24"/>
          <w:lang w:val="en-US"/>
        </w:rPr>
        <w:t>known about the universe of party ban cases in democratic states. There is no comprehensive and up-to-</w:t>
      </w:r>
      <w:r>
        <w:rPr>
          <w:rFonts w:ascii="Times New Roman" w:hAnsi="Times New Roman" w:cs="Times New Roman"/>
          <w:sz w:val="24"/>
          <w:szCs w:val="24"/>
          <w:lang w:val="en-US"/>
        </w:rPr>
        <w:t xml:space="preserve">date list of party bans and as such no basis for identifying pertinent party ban cases. </w:t>
      </w:r>
      <w:r w:rsidRPr="00D8114E">
        <w:rPr>
          <w:rFonts w:ascii="Times New Roman" w:hAnsi="Times New Roman" w:cs="Times New Roman"/>
          <w:sz w:val="24"/>
          <w:szCs w:val="24"/>
          <w:lang w:val="en-US"/>
        </w:rPr>
        <w:t>Classification aims to simplify a complex reality through the identification of distinct categories with shared characteristics and provides an important early step in the search for hypothes</w:t>
      </w:r>
      <w:r>
        <w:rPr>
          <w:rFonts w:ascii="Times New Roman" w:hAnsi="Times New Roman" w:cs="Times New Roman"/>
          <w:sz w:val="24"/>
          <w:szCs w:val="24"/>
          <w:lang w:val="en-US"/>
        </w:rPr>
        <w:t xml:space="preserve">es </w:t>
      </w:r>
      <w:r w:rsidRPr="00D8114E">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for </w:t>
      </w:r>
      <w:r w:rsidRPr="00D8114E">
        <w:rPr>
          <w:rFonts w:ascii="Times New Roman" w:hAnsi="Times New Roman" w:cs="Times New Roman"/>
          <w:sz w:val="24"/>
          <w:szCs w:val="24"/>
          <w:lang w:val="en-US"/>
        </w:rPr>
        <w:t>theory-building (</w:t>
      </w:r>
      <w:proofErr w:type="spellStart"/>
      <w:r w:rsidRPr="00D8114E">
        <w:rPr>
          <w:rFonts w:ascii="Times New Roman" w:hAnsi="Times New Roman" w:cs="Times New Roman"/>
          <w:sz w:val="24"/>
          <w:szCs w:val="24"/>
          <w:lang w:val="en-US"/>
        </w:rPr>
        <w:t>L</w:t>
      </w:r>
      <w:r>
        <w:rPr>
          <w:rFonts w:ascii="Times New Roman" w:hAnsi="Times New Roman" w:cs="Times New Roman"/>
          <w:sz w:val="24"/>
          <w:szCs w:val="24"/>
          <w:lang w:val="en-US"/>
        </w:rPr>
        <w:t>andmann</w:t>
      </w:r>
      <w:proofErr w:type="spellEnd"/>
      <w:r>
        <w:rPr>
          <w:rFonts w:ascii="Times New Roman" w:hAnsi="Times New Roman" w:cs="Times New Roman"/>
          <w:sz w:val="24"/>
          <w:szCs w:val="24"/>
          <w:lang w:val="en-US"/>
        </w:rPr>
        <w:t>, 2003</w:t>
      </w:r>
      <w:r w:rsidRPr="00D8114E">
        <w:rPr>
          <w:rFonts w:ascii="Times New Roman" w:hAnsi="Times New Roman" w:cs="Times New Roman"/>
          <w:sz w:val="24"/>
          <w:szCs w:val="24"/>
          <w:lang w:val="en-US"/>
        </w:rPr>
        <w:t>, 5-6).</w:t>
      </w:r>
      <w:r>
        <w:rPr>
          <w:rFonts w:ascii="Times New Roman" w:hAnsi="Times New Roman" w:cs="Times New Roman"/>
          <w:sz w:val="24"/>
          <w:szCs w:val="24"/>
          <w:lang w:val="en-US"/>
        </w:rPr>
        <w:t xml:space="preserve"> </w:t>
      </w:r>
    </w:p>
    <w:p w:rsidR="008C492D" w:rsidRDefault="008C492D" w:rsidP="008C492D">
      <w:pPr>
        <w:spacing w:line="360" w:lineRule="auto"/>
        <w:rPr>
          <w:rFonts w:ascii="Times New Roman" w:hAnsi="Times New Roman" w:cs="Times New Roman"/>
          <w:sz w:val="24"/>
          <w:szCs w:val="24"/>
          <w:lang w:val="en-US"/>
        </w:rPr>
      </w:pPr>
      <w:r>
        <w:rPr>
          <w:rFonts w:ascii="Times New Roman" w:hAnsi="Times New Roman"/>
          <w:sz w:val="24"/>
          <w:szCs w:val="24"/>
          <w:lang w:val="en-US"/>
        </w:rPr>
        <w:lastRenderedPageBreak/>
        <w:t xml:space="preserve">Table 2 provides the results of our survey of party bans in Europe.  It has been compiled using various sources, including the existing literature, which mostly consists of </w:t>
      </w:r>
      <w:r w:rsidRPr="00B91E2E">
        <w:rPr>
          <w:rFonts w:ascii="Times New Roman" w:hAnsi="Times New Roman" w:cs="Times New Roman"/>
          <w:sz w:val="24"/>
          <w:szCs w:val="24"/>
          <w:lang w:val="en-US"/>
        </w:rPr>
        <w:t xml:space="preserve">single case studies or </w:t>
      </w:r>
      <w:r>
        <w:rPr>
          <w:rFonts w:ascii="Times New Roman" w:hAnsi="Times New Roman" w:cs="Times New Roman"/>
          <w:sz w:val="24"/>
          <w:szCs w:val="24"/>
          <w:lang w:val="en-US"/>
        </w:rPr>
        <w:t>‘</w:t>
      </w:r>
      <w:r w:rsidRPr="00B91E2E">
        <w:rPr>
          <w:rFonts w:ascii="Times New Roman" w:hAnsi="Times New Roman" w:cs="Times New Roman"/>
          <w:sz w:val="24"/>
          <w:szCs w:val="24"/>
          <w:lang w:val="en-US"/>
        </w:rPr>
        <w:t xml:space="preserve">small n’ comparisons of party bans </w:t>
      </w:r>
      <w:r w:rsidRPr="00341E7D">
        <w:rPr>
          <w:rFonts w:ascii="Times New Roman" w:hAnsi="Times New Roman" w:cs="Times New Roman"/>
          <w:sz w:val="24"/>
          <w:szCs w:val="24"/>
          <w:lang w:val="en-US"/>
        </w:rPr>
        <w:t>(</w:t>
      </w:r>
      <w:proofErr w:type="spellStart"/>
      <w:r w:rsidRPr="00341E7D">
        <w:rPr>
          <w:rFonts w:ascii="Times New Roman" w:hAnsi="Times New Roman" w:cs="Times New Roman"/>
          <w:sz w:val="24"/>
          <w:szCs w:val="24"/>
          <w:lang w:val="en-US"/>
        </w:rPr>
        <w:t>eg</w:t>
      </w:r>
      <w:proofErr w:type="spellEnd"/>
      <w:r w:rsidRPr="00341E7D">
        <w:rPr>
          <w:rFonts w:ascii="Times New Roman" w:hAnsi="Times New Roman" w:cs="Times New Roman"/>
          <w:sz w:val="24"/>
          <w:szCs w:val="24"/>
          <w:lang w:val="en-US"/>
        </w:rPr>
        <w:t xml:space="preserve">. </w:t>
      </w:r>
      <w:proofErr w:type="gramStart"/>
      <w:r w:rsidRPr="00341E7D">
        <w:rPr>
          <w:rFonts w:ascii="Times New Roman" w:hAnsi="Times New Roman" w:cs="Times New Roman"/>
          <w:sz w:val="24"/>
          <w:szCs w:val="24"/>
          <w:lang w:val="en-US"/>
        </w:rPr>
        <w:t xml:space="preserve">Nielsen 2002; Gordon, 1987; </w:t>
      </w:r>
      <w:proofErr w:type="spellStart"/>
      <w:r w:rsidRPr="00341E7D">
        <w:rPr>
          <w:rFonts w:ascii="Times New Roman" w:hAnsi="Times New Roman" w:cs="Times New Roman"/>
          <w:sz w:val="24"/>
          <w:szCs w:val="24"/>
          <w:lang w:val="en-US"/>
        </w:rPr>
        <w:t>Sajó</w:t>
      </w:r>
      <w:proofErr w:type="spellEnd"/>
      <w:r w:rsidRPr="00341E7D">
        <w:rPr>
          <w:rFonts w:ascii="Times New Roman" w:hAnsi="Times New Roman" w:cs="Times New Roman"/>
          <w:sz w:val="24"/>
          <w:szCs w:val="24"/>
          <w:lang w:val="en-US"/>
        </w:rPr>
        <w:t xml:space="preserve"> 2004; Bale, 2007; </w:t>
      </w:r>
      <w:proofErr w:type="spellStart"/>
      <w:r w:rsidRPr="00341E7D">
        <w:rPr>
          <w:rFonts w:ascii="Times New Roman" w:hAnsi="Times New Roman" w:cs="Times New Roman"/>
          <w:sz w:val="24"/>
          <w:szCs w:val="24"/>
          <w:lang w:val="en-US"/>
        </w:rPr>
        <w:t>Navot</w:t>
      </w:r>
      <w:proofErr w:type="spellEnd"/>
      <w:r w:rsidRPr="00341E7D">
        <w:rPr>
          <w:rFonts w:ascii="Times New Roman" w:hAnsi="Times New Roman" w:cs="Times New Roman"/>
          <w:sz w:val="24"/>
          <w:szCs w:val="24"/>
          <w:lang w:val="en-US"/>
        </w:rPr>
        <w:t xml:space="preserve"> 2008; Fox and Nolte, 2000; </w:t>
      </w:r>
      <w:proofErr w:type="spellStart"/>
      <w:r w:rsidRPr="00341E7D">
        <w:rPr>
          <w:rFonts w:ascii="Times New Roman" w:hAnsi="Times New Roman" w:cs="Times New Roman"/>
          <w:sz w:val="24"/>
          <w:szCs w:val="24"/>
          <w:lang w:val="en-US"/>
        </w:rPr>
        <w:t>Corcuera</w:t>
      </w:r>
      <w:proofErr w:type="spellEnd"/>
      <w:r w:rsidRPr="00341E7D">
        <w:rPr>
          <w:rFonts w:ascii="Times New Roman" w:hAnsi="Times New Roman" w:cs="Times New Roman"/>
          <w:sz w:val="24"/>
          <w:szCs w:val="24"/>
          <w:lang w:val="en-US"/>
        </w:rPr>
        <w:t xml:space="preserve"> </w:t>
      </w:r>
      <w:r w:rsidRPr="00341E7D">
        <w:rPr>
          <w:rFonts w:ascii="Times New Roman" w:hAnsi="Times New Roman" w:cs="Times New Roman"/>
          <w:i/>
          <w:sz w:val="24"/>
          <w:szCs w:val="24"/>
          <w:lang w:val="en-US"/>
        </w:rPr>
        <w:t>et al</w:t>
      </w:r>
      <w:r w:rsidRPr="00341E7D">
        <w:rPr>
          <w:rFonts w:ascii="Times New Roman" w:hAnsi="Times New Roman" w:cs="Times New Roman"/>
          <w:sz w:val="24"/>
          <w:szCs w:val="24"/>
          <w:lang w:val="en-US"/>
        </w:rPr>
        <w:t xml:space="preserve">, 2008; </w:t>
      </w:r>
      <w:proofErr w:type="spellStart"/>
      <w:r w:rsidRPr="00341E7D">
        <w:rPr>
          <w:rFonts w:ascii="Times New Roman" w:hAnsi="Times New Roman" w:cs="Times New Roman"/>
          <w:sz w:val="24"/>
          <w:szCs w:val="24"/>
          <w:lang w:val="en"/>
        </w:rPr>
        <w:t>Koçak</w:t>
      </w:r>
      <w:proofErr w:type="spellEnd"/>
      <w:r w:rsidRPr="00341E7D">
        <w:rPr>
          <w:rFonts w:ascii="Times New Roman" w:hAnsi="Times New Roman" w:cs="Times New Roman"/>
          <w:sz w:val="24"/>
          <w:szCs w:val="24"/>
          <w:lang w:val="en"/>
        </w:rPr>
        <w:t xml:space="preserve">, M and </w:t>
      </w:r>
      <w:proofErr w:type="spellStart"/>
      <w:r w:rsidRPr="00341E7D">
        <w:rPr>
          <w:rFonts w:ascii="Times New Roman" w:hAnsi="Times New Roman" w:cs="Times New Roman"/>
          <w:sz w:val="24"/>
          <w:szCs w:val="24"/>
          <w:lang w:val="en"/>
        </w:rPr>
        <w:t>Örücü</w:t>
      </w:r>
      <w:proofErr w:type="spellEnd"/>
      <w:r w:rsidRPr="00341E7D">
        <w:rPr>
          <w:rFonts w:ascii="Times New Roman" w:hAnsi="Times New Roman" w:cs="Times New Roman"/>
          <w:sz w:val="24"/>
          <w:szCs w:val="24"/>
          <w:lang w:val="en"/>
        </w:rPr>
        <w:t xml:space="preserve">, E (2003) </w:t>
      </w:r>
      <w:r w:rsidRPr="00341E7D">
        <w:rPr>
          <w:rFonts w:ascii="Times New Roman" w:hAnsi="Times New Roman" w:cs="Times New Roman"/>
          <w:sz w:val="24"/>
          <w:szCs w:val="24"/>
          <w:lang w:val="en-US"/>
        </w:rPr>
        <w:t>Bourne, 2014a and Bourne 2014b).</w:t>
      </w:r>
      <w:proofErr w:type="gramEnd"/>
      <w:r>
        <w:rPr>
          <w:rFonts w:ascii="Times New Roman" w:hAnsi="Times New Roman"/>
          <w:sz w:val="24"/>
          <w:szCs w:val="24"/>
          <w:lang w:val="en-US"/>
        </w:rPr>
        <w:t xml:space="preserve"> Other sources include a 1998 Council of Europe party ban survey, European Council of Human Rights cases and correspondence with party system experts and state interior ministries conducted by the authors between January and April 2014. The list is not exhaustive. In cases where large numbers of parties have been banned, such as France, Turkey and Spain, we have only included representative samples of party ban cases. In the Turkish case, we only included cases after the (at least partial) restoration of democracy in 1983.</w:t>
      </w:r>
    </w:p>
    <w:p w:rsidR="008C492D" w:rsidRDefault="008C492D" w:rsidP="008C492D">
      <w:pPr>
        <w:spacing w:line="360" w:lineRule="auto"/>
        <w:jc w:val="both"/>
        <w:rPr>
          <w:rFonts w:ascii="Times New Roman" w:hAnsi="Times New Roman" w:cs="Times New Roman"/>
          <w:sz w:val="24"/>
          <w:szCs w:val="24"/>
          <w:lang w:val="en-US"/>
        </w:rPr>
      </w:pPr>
      <w:r w:rsidRPr="002A5816">
        <w:rPr>
          <w:rFonts w:ascii="Times New Roman" w:hAnsi="Times New Roman" w:cs="Times New Roman"/>
          <w:sz w:val="24"/>
          <w:szCs w:val="24"/>
          <w:lang w:val="en-US"/>
        </w:rPr>
        <w:t xml:space="preserve">Party bans’ vary in form and in the degree to which the targeted party is excluded from the public sphere. The most punishing form of party exclusion is </w:t>
      </w:r>
      <w:r w:rsidRPr="002A5816">
        <w:rPr>
          <w:rFonts w:ascii="Times New Roman" w:hAnsi="Times New Roman" w:cs="Times New Roman"/>
          <w:i/>
          <w:sz w:val="24"/>
          <w:szCs w:val="24"/>
          <w:lang w:val="en-US"/>
        </w:rPr>
        <w:t>dissolution</w:t>
      </w:r>
      <w:r w:rsidRPr="002A5816">
        <w:rPr>
          <w:rFonts w:ascii="Times New Roman" w:hAnsi="Times New Roman" w:cs="Times New Roman"/>
          <w:sz w:val="24"/>
          <w:szCs w:val="24"/>
          <w:lang w:val="en-US"/>
        </w:rPr>
        <w:t xml:space="preserve">. It denies a party the right and means to participate in public life through measures such as exclusion from electoral contests, removal from office or representative positions, seizure of assets, closure of offices, or </w:t>
      </w:r>
      <w:proofErr w:type="spellStart"/>
      <w:r w:rsidRPr="002A5816">
        <w:rPr>
          <w:rFonts w:ascii="Times New Roman" w:hAnsi="Times New Roman" w:cs="Times New Roman"/>
          <w:sz w:val="24"/>
          <w:szCs w:val="24"/>
          <w:lang w:val="en-US"/>
        </w:rPr>
        <w:t>criminalisation</w:t>
      </w:r>
      <w:proofErr w:type="spellEnd"/>
      <w:r w:rsidRPr="002A5816">
        <w:rPr>
          <w:rFonts w:ascii="Times New Roman" w:hAnsi="Times New Roman" w:cs="Times New Roman"/>
          <w:sz w:val="24"/>
          <w:szCs w:val="24"/>
          <w:lang w:val="en-US"/>
        </w:rPr>
        <w:t xml:space="preserve"> of leadership. </w:t>
      </w:r>
      <w:r w:rsidRPr="002A5816">
        <w:rPr>
          <w:rFonts w:ascii="Times New Roman" w:hAnsi="Times New Roman" w:cs="Times New Roman"/>
          <w:i/>
          <w:sz w:val="24"/>
          <w:szCs w:val="24"/>
          <w:lang w:val="en-US"/>
        </w:rPr>
        <w:t xml:space="preserve">Non-registration, </w:t>
      </w:r>
      <w:r w:rsidRPr="002A5816">
        <w:rPr>
          <w:rFonts w:ascii="Times New Roman" w:hAnsi="Times New Roman" w:cs="Times New Roman"/>
          <w:sz w:val="24"/>
          <w:szCs w:val="24"/>
          <w:lang w:val="en-US"/>
        </w:rPr>
        <w:t xml:space="preserve">involves denial of a new party’s right to formally exist as a party, acquire associated privileges or to participate in elections. </w:t>
      </w:r>
      <w:r w:rsidRPr="002A5816">
        <w:rPr>
          <w:rFonts w:ascii="Times New Roman" w:hAnsi="Times New Roman" w:cs="Times New Roman"/>
          <w:i/>
          <w:sz w:val="24"/>
          <w:szCs w:val="24"/>
          <w:lang w:val="en-US"/>
        </w:rPr>
        <w:t>Rights denial</w:t>
      </w:r>
      <w:r w:rsidRPr="002A5816">
        <w:rPr>
          <w:rFonts w:ascii="Times New Roman" w:hAnsi="Times New Roman" w:cs="Times New Roman"/>
          <w:sz w:val="24"/>
          <w:szCs w:val="24"/>
          <w:lang w:val="en-US"/>
        </w:rPr>
        <w:t xml:space="preserve"> involves the withdrawal of rights and privileges - such as the right to stand in elections - of already existing parties, even though the party as such may not be formally dissolved. A </w:t>
      </w:r>
      <w:r w:rsidRPr="002A5816">
        <w:rPr>
          <w:rFonts w:ascii="Times New Roman" w:hAnsi="Times New Roman" w:cs="Times New Roman"/>
          <w:i/>
          <w:sz w:val="24"/>
          <w:szCs w:val="24"/>
          <w:lang w:val="en-US"/>
        </w:rPr>
        <w:t>lapsed ban</w:t>
      </w:r>
      <w:r w:rsidRPr="002A5816">
        <w:rPr>
          <w:rFonts w:ascii="Times New Roman" w:hAnsi="Times New Roman" w:cs="Times New Roman"/>
          <w:sz w:val="24"/>
          <w:szCs w:val="24"/>
          <w:lang w:val="en-US"/>
        </w:rPr>
        <w:t xml:space="preserve"> is a ban that has been undermined by the failure of the state to prevent a successor from taking on the mantle of a banned party. </w:t>
      </w:r>
      <w:r>
        <w:rPr>
          <w:rFonts w:ascii="Times New Roman" w:hAnsi="Times New Roman" w:cs="Times New Roman"/>
          <w:sz w:val="24"/>
          <w:szCs w:val="24"/>
          <w:lang w:val="en-US"/>
        </w:rPr>
        <w:t xml:space="preserve">With one exception, </w:t>
      </w:r>
      <w:r w:rsidRPr="002A5816">
        <w:rPr>
          <w:rFonts w:ascii="Times New Roman" w:hAnsi="Times New Roman" w:cs="Times New Roman"/>
          <w:sz w:val="24"/>
          <w:szCs w:val="24"/>
          <w:lang w:val="en-US"/>
        </w:rPr>
        <w:t xml:space="preserve">we focus on the first type of party ban, </w:t>
      </w:r>
      <w:r w:rsidRPr="002A5816">
        <w:rPr>
          <w:rFonts w:ascii="Times New Roman" w:hAnsi="Times New Roman" w:cs="Times New Roman"/>
          <w:i/>
          <w:sz w:val="24"/>
          <w:szCs w:val="24"/>
          <w:lang w:val="en-US"/>
        </w:rPr>
        <w:t>dissolution</w:t>
      </w:r>
      <w:r w:rsidRPr="002A58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because its impact on the party system is likely to be most pronounced. The exception is Spain, where we include two cases of non-registration (marked with an * in Table </w:t>
      </w:r>
      <w:r w:rsidR="00467C9B">
        <w:rPr>
          <w:rFonts w:ascii="Times New Roman" w:hAnsi="Times New Roman" w:cs="Times New Roman"/>
          <w:sz w:val="24"/>
          <w:szCs w:val="24"/>
          <w:lang w:val="en-US"/>
        </w:rPr>
        <w:t>1</w:t>
      </w:r>
      <w:r>
        <w:rPr>
          <w:rFonts w:ascii="Times New Roman" w:hAnsi="Times New Roman" w:cs="Times New Roman"/>
          <w:sz w:val="24"/>
          <w:szCs w:val="24"/>
          <w:lang w:val="en-US"/>
        </w:rPr>
        <w:t xml:space="preserve">). Here non-registration was an instrument employed to prevent the reemergence of a previously banned party, </w:t>
      </w:r>
      <w:proofErr w:type="spellStart"/>
      <w:r w:rsidRPr="00850D75">
        <w:rPr>
          <w:rFonts w:ascii="Times New Roman" w:hAnsi="Times New Roman" w:cs="Times New Roman"/>
          <w:i/>
          <w:sz w:val="24"/>
          <w:szCs w:val="24"/>
          <w:lang w:val="en-US"/>
        </w:rPr>
        <w:t>Batasuna</w:t>
      </w:r>
      <w:proofErr w:type="spellEnd"/>
      <w:r>
        <w:rPr>
          <w:rFonts w:ascii="Times New Roman" w:hAnsi="Times New Roman" w:cs="Times New Roman"/>
          <w:sz w:val="24"/>
          <w:szCs w:val="24"/>
          <w:lang w:val="en-US"/>
        </w:rPr>
        <w:t xml:space="preserve">, rather than an attempt to deny a new party entry into the electoral arena. </w:t>
      </w:r>
    </w:p>
    <w:p w:rsidR="008C492D" w:rsidRDefault="008C492D" w:rsidP="008C492D">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Pr="00850D75">
        <w:rPr>
          <w:rFonts w:ascii="Times New Roman" w:hAnsi="Times New Roman" w:cs="Times New Roman"/>
          <w:sz w:val="24"/>
          <w:szCs w:val="24"/>
          <w:lang w:val="en-US"/>
        </w:rPr>
        <w:t xml:space="preserve">e also include </w:t>
      </w:r>
      <w:r>
        <w:rPr>
          <w:rFonts w:ascii="Times New Roman" w:hAnsi="Times New Roman" w:cs="Times New Roman"/>
          <w:sz w:val="24"/>
          <w:szCs w:val="24"/>
          <w:lang w:val="en-US"/>
        </w:rPr>
        <w:t xml:space="preserve">the rather ambiguous case of </w:t>
      </w:r>
      <w:proofErr w:type="spellStart"/>
      <w:r w:rsidRPr="00850D75">
        <w:rPr>
          <w:rFonts w:ascii="Times New Roman" w:hAnsi="Times New Roman" w:cs="Times New Roman"/>
          <w:i/>
          <w:sz w:val="24"/>
          <w:szCs w:val="24"/>
          <w:lang w:val="en-US"/>
        </w:rPr>
        <w:t>Vlaams</w:t>
      </w:r>
      <w:proofErr w:type="spellEnd"/>
      <w:r w:rsidRPr="00850D75">
        <w:rPr>
          <w:rFonts w:ascii="Times New Roman" w:hAnsi="Times New Roman" w:cs="Times New Roman"/>
          <w:i/>
          <w:sz w:val="24"/>
          <w:szCs w:val="24"/>
          <w:lang w:val="en-US"/>
        </w:rPr>
        <w:t xml:space="preserve"> Blok </w:t>
      </w:r>
      <w:r w:rsidRPr="00850D75">
        <w:rPr>
          <w:rFonts w:ascii="Times New Roman" w:hAnsi="Times New Roman" w:cs="Times New Roman"/>
          <w:sz w:val="24"/>
          <w:szCs w:val="24"/>
          <w:lang w:val="en-US"/>
        </w:rPr>
        <w:t xml:space="preserve">(Flemish Block) </w:t>
      </w:r>
      <w:r>
        <w:rPr>
          <w:rFonts w:ascii="Times New Roman" w:hAnsi="Times New Roman" w:cs="Times New Roman"/>
          <w:sz w:val="24"/>
          <w:szCs w:val="24"/>
          <w:lang w:val="en-US"/>
        </w:rPr>
        <w:t xml:space="preserve">in our list of banned parties. Bale argues that this case </w:t>
      </w:r>
      <w:r w:rsidRPr="00850D75">
        <w:rPr>
          <w:rFonts w:ascii="Times New Roman" w:hAnsi="Times New Roman" w:cs="Times New Roman"/>
          <w:sz w:val="24"/>
          <w:szCs w:val="24"/>
          <w:lang w:val="en-US"/>
        </w:rPr>
        <w:t>constitute</w:t>
      </w:r>
      <w:r>
        <w:rPr>
          <w:rFonts w:ascii="Times New Roman" w:hAnsi="Times New Roman" w:cs="Times New Roman"/>
          <w:sz w:val="24"/>
          <w:szCs w:val="24"/>
          <w:lang w:val="en-US"/>
        </w:rPr>
        <w:t>s</w:t>
      </w:r>
      <w:r w:rsidRPr="00850D75">
        <w:rPr>
          <w:rFonts w:ascii="Times New Roman" w:hAnsi="Times New Roman" w:cs="Times New Roman"/>
          <w:sz w:val="24"/>
          <w:szCs w:val="24"/>
          <w:lang w:val="en-US"/>
        </w:rPr>
        <w:t xml:space="preserve"> an additional category of party ban – the ‘effective (if not technical)’ party ban (2007, 144). </w:t>
      </w:r>
      <w:r>
        <w:rPr>
          <w:rFonts w:ascii="Times New Roman" w:hAnsi="Times New Roman" w:cs="Times New Roman"/>
          <w:sz w:val="24"/>
          <w:szCs w:val="24"/>
          <w:lang w:val="en-US"/>
        </w:rPr>
        <w:t xml:space="preserve">The Belgian courts ruled the party violated anti-racism legislation, a decision which could have led to withdrawal of state funding and limits on access to the media, public buildings and even the postal service (ibid, 152). The party then dissolved itself and reemerged as </w:t>
      </w:r>
      <w:proofErr w:type="spellStart"/>
      <w:r w:rsidRPr="00AC3E4A">
        <w:rPr>
          <w:rFonts w:ascii="Times New Roman" w:hAnsi="Times New Roman" w:cs="Times New Roman"/>
          <w:i/>
          <w:sz w:val="24"/>
          <w:szCs w:val="24"/>
          <w:lang w:val="en-US"/>
        </w:rPr>
        <w:t>Vlaams</w:t>
      </w:r>
      <w:proofErr w:type="spellEnd"/>
      <w:r w:rsidRPr="00AC3E4A">
        <w:rPr>
          <w:rFonts w:ascii="Times New Roman" w:hAnsi="Times New Roman" w:cs="Times New Roman"/>
          <w:i/>
          <w:sz w:val="24"/>
          <w:szCs w:val="24"/>
          <w:lang w:val="en-US"/>
        </w:rPr>
        <w:t xml:space="preserve"> </w:t>
      </w:r>
      <w:proofErr w:type="spellStart"/>
      <w:r w:rsidRPr="00AC3E4A">
        <w:rPr>
          <w:rFonts w:ascii="Times New Roman" w:hAnsi="Times New Roman" w:cs="Times New Roman"/>
          <w:i/>
          <w:sz w:val="24"/>
          <w:szCs w:val="24"/>
          <w:lang w:val="en-US"/>
        </w:rPr>
        <w:t>Belang</w:t>
      </w:r>
      <w:proofErr w:type="spellEnd"/>
      <w:r>
        <w:rPr>
          <w:rFonts w:ascii="Times New Roman" w:hAnsi="Times New Roman" w:cs="Times New Roman"/>
          <w:sz w:val="24"/>
          <w:szCs w:val="24"/>
          <w:lang w:val="en-US"/>
        </w:rPr>
        <w:t xml:space="preserve"> (Flemish interest).  The advantage of including the additional category of ‘effective (if not technical)’ party bans is, as Bale’s work indicates, that it acknowledges </w:t>
      </w:r>
      <w:r>
        <w:rPr>
          <w:rFonts w:ascii="Times New Roman" w:hAnsi="Times New Roman" w:cs="Times New Roman"/>
          <w:sz w:val="24"/>
          <w:szCs w:val="24"/>
          <w:lang w:val="en-US"/>
        </w:rPr>
        <w:lastRenderedPageBreak/>
        <w:t xml:space="preserve">that </w:t>
      </w:r>
      <w:r w:rsidRPr="00850D75">
        <w:rPr>
          <w:rFonts w:ascii="Times New Roman" w:hAnsi="Times New Roman" w:cs="Times New Roman"/>
          <w:sz w:val="24"/>
          <w:szCs w:val="24"/>
          <w:lang w:val="en-US"/>
        </w:rPr>
        <w:t>the deprivation of state funding may indeed have an equivalent effect to proscription in an era of expensive media-intensive party competition</w:t>
      </w:r>
      <w:r>
        <w:rPr>
          <w:rFonts w:ascii="Times New Roman" w:hAnsi="Times New Roman" w:cs="Times New Roman"/>
          <w:sz w:val="24"/>
          <w:szCs w:val="24"/>
          <w:lang w:val="en-US"/>
        </w:rPr>
        <w:t xml:space="preserve"> and it is for this reason that we include it. </w:t>
      </w:r>
    </w:p>
    <w:p w:rsidR="00F44E79" w:rsidRPr="00AC3E4A" w:rsidRDefault="00F44E79" w:rsidP="008C492D">
      <w:pPr>
        <w:autoSpaceDE w:val="0"/>
        <w:autoSpaceDN w:val="0"/>
        <w:adjustRightInd w:val="0"/>
        <w:spacing w:after="0" w:line="360" w:lineRule="auto"/>
        <w:rPr>
          <w:rFonts w:ascii="Times New Roman" w:hAnsi="Times New Roman" w:cs="Times New Roman"/>
          <w:sz w:val="24"/>
          <w:szCs w:val="24"/>
          <w:lang w:val="en-US"/>
        </w:rPr>
      </w:pPr>
    </w:p>
    <w:p w:rsidR="008C492D" w:rsidRDefault="008C492D" w:rsidP="008C492D">
      <w:pPr>
        <w:spacing w:line="360" w:lineRule="auto"/>
        <w:jc w:val="both"/>
        <w:rPr>
          <w:rFonts w:ascii="Times New Roman" w:hAnsi="Times New Roman" w:cs="Times New Roman"/>
          <w:sz w:val="24"/>
          <w:szCs w:val="24"/>
          <w:lang w:val="en-US"/>
        </w:rPr>
      </w:pPr>
      <w:r w:rsidRPr="00AC3E4A">
        <w:rPr>
          <w:rFonts w:ascii="Times New Roman" w:hAnsi="Times New Roman" w:cs="Times New Roman"/>
          <w:sz w:val="24"/>
          <w:szCs w:val="24"/>
          <w:lang w:val="en-US"/>
        </w:rPr>
        <w:t>Most parties listed in Table 1 fit a broad definition of political parties</w:t>
      </w:r>
      <w:r>
        <w:rPr>
          <w:rFonts w:ascii="Times New Roman" w:hAnsi="Times New Roman" w:cs="Times New Roman"/>
          <w:sz w:val="24"/>
          <w:szCs w:val="24"/>
          <w:lang w:val="en-US"/>
        </w:rPr>
        <w:t>.</w:t>
      </w:r>
      <w:r w:rsidRPr="00AC3E4A">
        <w:rPr>
          <w:rFonts w:ascii="Times New Roman" w:hAnsi="Times New Roman" w:cs="Times New Roman"/>
          <w:sz w:val="24"/>
          <w:szCs w:val="24"/>
          <w:lang w:val="en-US"/>
        </w:rPr>
        <w:t xml:space="preserve"> </w:t>
      </w:r>
      <w:r w:rsidR="00467C9B">
        <w:rPr>
          <w:rFonts w:ascii="Times New Roman" w:hAnsi="Times New Roman" w:cs="Times New Roman"/>
          <w:sz w:val="24"/>
          <w:szCs w:val="24"/>
          <w:lang w:val="en-US"/>
        </w:rPr>
        <w:t>D</w:t>
      </w:r>
      <w:r w:rsidRPr="00AC3E4A">
        <w:rPr>
          <w:rFonts w:ascii="Times New Roman" w:hAnsi="Times New Roman" w:cs="Times New Roman"/>
          <w:sz w:val="24"/>
          <w:szCs w:val="24"/>
          <w:lang w:val="en-US"/>
        </w:rPr>
        <w:t>efining ‘political party’ is notoriously difficult, given the range of historical and political contexts in which they operate and the various normative assumptions about functions parties ought to perform (</w:t>
      </w:r>
      <w:proofErr w:type="spellStart"/>
      <w:r w:rsidRPr="00AC3E4A">
        <w:rPr>
          <w:rFonts w:ascii="Times New Roman" w:hAnsi="Times New Roman" w:cs="Times New Roman"/>
          <w:sz w:val="24"/>
          <w:szCs w:val="24"/>
          <w:lang w:val="en-US"/>
        </w:rPr>
        <w:t>Duverger</w:t>
      </w:r>
      <w:proofErr w:type="spellEnd"/>
      <w:r w:rsidRPr="00AC3E4A">
        <w:rPr>
          <w:rFonts w:ascii="Times New Roman" w:hAnsi="Times New Roman" w:cs="Times New Roman"/>
          <w:sz w:val="24"/>
          <w:szCs w:val="24"/>
          <w:lang w:val="en-US"/>
        </w:rPr>
        <w:t xml:space="preserve">, 1954, xiv-xv and xxii-iv; White, 2006). Political parties are typically </w:t>
      </w:r>
      <w:proofErr w:type="spellStart"/>
      <w:r w:rsidRPr="00AC3E4A">
        <w:rPr>
          <w:rFonts w:ascii="Times New Roman" w:hAnsi="Times New Roman" w:cs="Times New Roman"/>
          <w:sz w:val="24"/>
          <w:szCs w:val="24"/>
          <w:lang w:val="en-US"/>
        </w:rPr>
        <w:t>organisations</w:t>
      </w:r>
      <w:proofErr w:type="spellEnd"/>
      <w:r w:rsidRPr="00AC3E4A">
        <w:rPr>
          <w:rFonts w:ascii="Times New Roman" w:hAnsi="Times New Roman" w:cs="Times New Roman"/>
          <w:sz w:val="24"/>
          <w:szCs w:val="24"/>
          <w:lang w:val="en-US"/>
        </w:rPr>
        <w:t xml:space="preserve"> which, in Alan Ware’s (1996, 1-6) formulation, ‘seek influence in a state’, often, but not always, fielding candidates in elections in order to occupy positions in government at various territorial levels. They ordinarily pursue goals through non-violent and legal means, although some may secretly employ illicit means or have close links to violent or clandestine groups. </w:t>
      </w:r>
      <w:r>
        <w:rPr>
          <w:rFonts w:ascii="Times New Roman" w:hAnsi="Times New Roman" w:cs="Times New Roman"/>
          <w:sz w:val="24"/>
          <w:szCs w:val="24"/>
          <w:lang w:val="en-US"/>
        </w:rPr>
        <w:t xml:space="preserve"> </w:t>
      </w:r>
    </w:p>
    <w:p w:rsidR="008C492D" w:rsidRPr="00830B39" w:rsidRDefault="008C492D" w:rsidP="008C492D">
      <w:pPr>
        <w:spacing w:line="360" w:lineRule="auto"/>
        <w:jc w:val="both"/>
        <w:rPr>
          <w:rFonts w:ascii="Times New Roman" w:hAnsi="Times New Roman"/>
          <w:strike/>
          <w:sz w:val="24"/>
          <w:szCs w:val="24"/>
          <w:u w:val="single"/>
          <w:lang w:val="en-US"/>
        </w:rPr>
      </w:pPr>
      <w:r>
        <w:rPr>
          <w:rFonts w:ascii="Times New Roman" w:hAnsi="Times New Roman" w:cs="Times New Roman"/>
          <w:sz w:val="24"/>
          <w:szCs w:val="24"/>
          <w:lang w:val="en-US"/>
        </w:rPr>
        <w:t xml:space="preserve">In some cases it was difficult to distinguish between banned parties and associations. The case of France was most complex in this regard, but it is by no means the only one where this issue is a problem. In France a single legal procedure is used for banning both parties and associations and around 100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have been banned (</w:t>
      </w:r>
      <w:proofErr w:type="spellStart"/>
      <w:r w:rsidR="003C3018">
        <w:rPr>
          <w:rFonts w:ascii="Times New Roman" w:hAnsi="Times New Roman" w:cs="Times New Roman"/>
          <w:sz w:val="24"/>
          <w:szCs w:val="24"/>
          <w:lang w:val="en-US"/>
        </w:rPr>
        <w:t>Corcuera</w:t>
      </w:r>
      <w:proofErr w:type="spellEnd"/>
      <w:r>
        <w:rPr>
          <w:rFonts w:ascii="Times New Roman" w:hAnsi="Times New Roman" w:cs="Times New Roman"/>
          <w:sz w:val="24"/>
          <w:szCs w:val="24"/>
          <w:lang w:val="en-US"/>
        </w:rPr>
        <w:t xml:space="preserve">, 2008). Most banned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were very small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whose political goals and practices require detailed historical knowledge beyond the scope of this paper. In Table 1, we include cases which preliminary investigation, or organizational title, suggested were political parties. In such cases we acknowledge that others may draw different conclusions about the status of some of these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as parties</w:t>
      </w:r>
      <w:r w:rsidR="00467C9B">
        <w:rPr>
          <w:rFonts w:ascii="Times New Roman" w:hAnsi="Times New Roman" w:cs="Times New Roman"/>
          <w:sz w:val="24"/>
          <w:szCs w:val="24"/>
          <w:lang w:val="en-US"/>
        </w:rPr>
        <w:t>.</w:t>
      </w:r>
      <w:r>
        <w:rPr>
          <w:rFonts w:ascii="Times New Roman" w:hAnsi="Times New Roman" w:cs="Times New Roman"/>
          <w:sz w:val="24"/>
          <w:szCs w:val="24"/>
          <w:lang w:val="en-US"/>
        </w:rPr>
        <w:t xml:space="preserve"> In other cases, we relied on Court rulings about the nature of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in question. For instance, we excluded the far right Free German Workers Party and National List, both of which were banned (as associations) in Germany in 1994, because the Federal Constitutional Court ruled that they were not political parties (Wise 1998).</w:t>
      </w:r>
      <w:r w:rsidRPr="00F75850">
        <w:rPr>
          <w:rFonts w:ascii="Times New Roman" w:hAnsi="Times New Roman" w:cs="Times New Roman"/>
          <w:sz w:val="24"/>
          <w:szCs w:val="24"/>
          <w:lang w:val="en-US"/>
        </w:rPr>
        <w:t xml:space="preserve"> </w:t>
      </w:r>
    </w:p>
    <w:p w:rsidR="008C492D" w:rsidRDefault="008C492D" w:rsidP="008C492D">
      <w:pPr>
        <w:spacing w:line="360" w:lineRule="auto"/>
        <w:jc w:val="center"/>
        <w:rPr>
          <w:rFonts w:ascii="Times New Roman" w:hAnsi="Times New Roman"/>
          <w:b/>
          <w:sz w:val="24"/>
          <w:szCs w:val="24"/>
          <w:lang w:val="en-US"/>
        </w:rPr>
      </w:pPr>
      <w:r w:rsidRPr="00032874">
        <w:rPr>
          <w:rFonts w:ascii="Times New Roman" w:hAnsi="Times New Roman"/>
          <w:b/>
          <w:sz w:val="24"/>
          <w:szCs w:val="24"/>
          <w:lang w:val="en-US"/>
        </w:rPr>
        <w:t xml:space="preserve">Table </w:t>
      </w:r>
      <w:r w:rsidR="006B60FF">
        <w:rPr>
          <w:rFonts w:ascii="Times New Roman" w:hAnsi="Times New Roman"/>
          <w:b/>
          <w:sz w:val="24"/>
          <w:szCs w:val="24"/>
          <w:lang w:val="en-US"/>
        </w:rPr>
        <w:t>1</w:t>
      </w:r>
      <w:r w:rsidRPr="00032874">
        <w:rPr>
          <w:rFonts w:ascii="Times New Roman" w:hAnsi="Times New Roman"/>
          <w:b/>
          <w:sz w:val="24"/>
          <w:szCs w:val="24"/>
          <w:lang w:val="en-US"/>
        </w:rPr>
        <w:t xml:space="preserve">: Party bans in Europe 1945 to </w:t>
      </w:r>
      <w:r>
        <w:rPr>
          <w:rFonts w:ascii="Times New Roman" w:hAnsi="Times New Roman"/>
          <w:b/>
          <w:sz w:val="24"/>
          <w:szCs w:val="24"/>
          <w:lang w:val="en-US"/>
        </w:rPr>
        <w:t>2013</w:t>
      </w:r>
    </w:p>
    <w:tbl>
      <w:tblPr>
        <w:tblW w:w="9072" w:type="dxa"/>
        <w:tblInd w:w="70" w:type="dxa"/>
        <w:tblCellMar>
          <w:left w:w="70" w:type="dxa"/>
          <w:right w:w="70" w:type="dxa"/>
        </w:tblCellMar>
        <w:tblLook w:val="04A0" w:firstRow="1" w:lastRow="0" w:firstColumn="1" w:lastColumn="0" w:noHBand="0" w:noVBand="1"/>
      </w:tblPr>
      <w:tblGrid>
        <w:gridCol w:w="1756"/>
        <w:gridCol w:w="7316"/>
      </w:tblGrid>
      <w:tr w:rsidR="008C492D" w:rsidRPr="00032874" w:rsidTr="00895231">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jc w:val="center"/>
              <w:rPr>
                <w:rFonts w:ascii="Times New Roman" w:eastAsia="Times New Roman" w:hAnsi="Times New Roman" w:cs="Times New Roman"/>
                <w:b/>
                <w:bCs/>
                <w:color w:val="000000"/>
                <w:sz w:val="24"/>
                <w:szCs w:val="24"/>
                <w:lang w:eastAsia="da-DK"/>
              </w:rPr>
            </w:pPr>
            <w:proofErr w:type="spellStart"/>
            <w:r w:rsidRPr="00032874">
              <w:rPr>
                <w:rFonts w:ascii="Times New Roman" w:eastAsia="Times New Roman" w:hAnsi="Times New Roman" w:cs="Times New Roman"/>
                <w:b/>
                <w:bCs/>
                <w:color w:val="000000"/>
                <w:sz w:val="24"/>
                <w:szCs w:val="24"/>
                <w:lang w:eastAsia="da-DK"/>
              </w:rPr>
              <w:t>Countries</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jc w:val="center"/>
              <w:rPr>
                <w:rFonts w:ascii="Times New Roman" w:eastAsia="Times New Roman" w:hAnsi="Times New Roman" w:cs="Times New Roman"/>
                <w:b/>
                <w:bCs/>
                <w:color w:val="000000"/>
                <w:sz w:val="24"/>
                <w:szCs w:val="24"/>
                <w:lang w:eastAsia="da-DK"/>
              </w:rPr>
            </w:pPr>
            <w:proofErr w:type="spellStart"/>
            <w:r w:rsidRPr="00032874">
              <w:rPr>
                <w:rFonts w:ascii="Times New Roman" w:eastAsia="Times New Roman" w:hAnsi="Times New Roman" w:cs="Times New Roman"/>
                <w:b/>
                <w:bCs/>
                <w:color w:val="000000"/>
                <w:sz w:val="24"/>
                <w:szCs w:val="24"/>
                <w:lang w:eastAsia="da-DK"/>
              </w:rPr>
              <w:t>Banned</w:t>
            </w:r>
            <w:proofErr w:type="spellEnd"/>
            <w:r w:rsidRPr="00032874">
              <w:rPr>
                <w:rFonts w:ascii="Times New Roman" w:eastAsia="Times New Roman" w:hAnsi="Times New Roman" w:cs="Times New Roman"/>
                <w:b/>
                <w:bCs/>
                <w:color w:val="000000"/>
                <w:sz w:val="24"/>
                <w:szCs w:val="24"/>
                <w:lang w:eastAsia="da-DK"/>
              </w:rPr>
              <w:t xml:space="preserve"> parties</w:t>
            </w:r>
          </w:p>
        </w:tc>
      </w:tr>
      <w:tr w:rsidR="008C492D" w:rsidRPr="002F77FB" w:rsidTr="00895231">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Austria</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German National Socialist Workers Party  (DNSAP)</w:t>
            </w:r>
            <w:r w:rsidRPr="004A6EB9">
              <w:rPr>
                <w:rFonts w:ascii="Times New Roman" w:eastAsia="Times New Roman" w:hAnsi="Times New Roman" w:cs="Times New Roman"/>
                <w:color w:val="000000"/>
                <w:sz w:val="24"/>
                <w:szCs w:val="24"/>
                <w:lang w:val="en-US" w:eastAsia="da-DK"/>
              </w:rPr>
              <w:t xml:space="preserve"> (1945)</w:t>
            </w:r>
          </w:p>
        </w:tc>
      </w:tr>
      <w:tr w:rsidR="008C492D" w:rsidRPr="00032874" w:rsidTr="00895231">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032874">
              <w:rPr>
                <w:rFonts w:ascii="Times New Roman" w:eastAsia="Times New Roman" w:hAnsi="Times New Roman" w:cs="Times New Roman"/>
                <w:color w:val="000000"/>
                <w:sz w:val="24"/>
                <w:szCs w:val="24"/>
                <w:lang w:eastAsia="da-DK"/>
              </w:rPr>
              <w:t xml:space="preserve">National </w:t>
            </w:r>
            <w:proofErr w:type="spellStart"/>
            <w:r w:rsidRPr="00032874">
              <w:rPr>
                <w:rFonts w:ascii="Times New Roman" w:eastAsia="Times New Roman" w:hAnsi="Times New Roman" w:cs="Times New Roman"/>
                <w:color w:val="000000"/>
                <w:sz w:val="24"/>
                <w:szCs w:val="24"/>
                <w:lang w:eastAsia="da-DK"/>
              </w:rPr>
              <w:t>Democratic</w:t>
            </w:r>
            <w:proofErr w:type="spellEnd"/>
            <w:r w:rsidRPr="00032874">
              <w:rPr>
                <w:rFonts w:ascii="Times New Roman" w:eastAsia="Times New Roman" w:hAnsi="Times New Roman" w:cs="Times New Roman"/>
                <w:color w:val="000000"/>
                <w:sz w:val="24"/>
                <w:szCs w:val="24"/>
                <w:lang w:eastAsia="da-DK"/>
              </w:rPr>
              <w:t xml:space="preserve"> Party (NDP)</w:t>
            </w:r>
            <w:r w:rsidRPr="004A6EB9">
              <w:rPr>
                <w:rFonts w:ascii="Times New Roman" w:eastAsia="Times New Roman" w:hAnsi="Times New Roman" w:cs="Times New Roman"/>
                <w:color w:val="000000"/>
                <w:sz w:val="24"/>
                <w:szCs w:val="24"/>
                <w:lang w:eastAsia="da-DK"/>
              </w:rPr>
              <w:t xml:space="preserve"> (1988)</w:t>
            </w:r>
          </w:p>
        </w:tc>
      </w:tr>
      <w:tr w:rsidR="008C492D" w:rsidRPr="00032874" w:rsidTr="00895231">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Belgium</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Pr>
                <w:rFonts w:ascii="Times New Roman" w:eastAsia="Times New Roman" w:hAnsi="Times New Roman" w:cs="Times New Roman"/>
                <w:color w:val="000000"/>
                <w:sz w:val="24"/>
                <w:szCs w:val="24"/>
                <w:lang w:eastAsia="da-DK"/>
              </w:rPr>
              <w:t>Flemish</w:t>
            </w:r>
            <w:proofErr w:type="spellEnd"/>
            <w:r>
              <w:rPr>
                <w:rFonts w:ascii="Times New Roman" w:eastAsia="Times New Roman" w:hAnsi="Times New Roman" w:cs="Times New Roman"/>
                <w:color w:val="000000"/>
                <w:sz w:val="24"/>
                <w:szCs w:val="24"/>
                <w:lang w:eastAsia="da-DK"/>
              </w:rPr>
              <w:t xml:space="preserve"> Block </w:t>
            </w:r>
            <w:r w:rsidRPr="00032874">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V</w:t>
            </w:r>
            <w:r w:rsidRPr="00032874">
              <w:rPr>
                <w:rFonts w:ascii="Times New Roman" w:eastAsia="Times New Roman" w:hAnsi="Times New Roman" w:cs="Times New Roman"/>
                <w:color w:val="000000"/>
                <w:sz w:val="24"/>
                <w:szCs w:val="24"/>
                <w:lang w:eastAsia="da-DK"/>
              </w:rPr>
              <w:t>B)</w:t>
            </w:r>
            <w:r w:rsidRPr="004A6EB9">
              <w:rPr>
                <w:rFonts w:ascii="Times New Roman" w:eastAsia="Times New Roman" w:hAnsi="Times New Roman" w:cs="Times New Roman"/>
                <w:color w:val="000000"/>
                <w:sz w:val="24"/>
                <w:szCs w:val="24"/>
                <w:lang w:eastAsia="da-DK"/>
              </w:rPr>
              <w:t xml:space="preserve"> (2004)</w:t>
            </w:r>
          </w:p>
        </w:tc>
      </w:tr>
      <w:tr w:rsidR="008C492D" w:rsidRPr="002F77FB" w:rsidTr="00895231">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Bulgaria</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United Macedonian Organization/</w:t>
            </w:r>
            <w:proofErr w:type="spellStart"/>
            <w:r w:rsidRPr="00032874">
              <w:rPr>
                <w:rFonts w:ascii="Times New Roman" w:eastAsia="Times New Roman" w:hAnsi="Times New Roman" w:cs="Times New Roman"/>
                <w:color w:val="000000"/>
                <w:sz w:val="24"/>
                <w:szCs w:val="24"/>
                <w:lang w:val="en-US" w:eastAsia="da-DK"/>
              </w:rPr>
              <w:t>Ilinden-Pirin</w:t>
            </w:r>
            <w:proofErr w:type="spellEnd"/>
            <w:r w:rsidRPr="00032874">
              <w:rPr>
                <w:rFonts w:ascii="Times New Roman" w:eastAsia="Times New Roman" w:hAnsi="Times New Roman" w:cs="Times New Roman"/>
                <w:color w:val="000000"/>
                <w:sz w:val="24"/>
                <w:szCs w:val="24"/>
                <w:lang w:val="en-US" w:eastAsia="da-DK"/>
              </w:rPr>
              <w:t xml:space="preserve"> (OMO)</w:t>
            </w:r>
            <w:r w:rsidRPr="004A6EB9">
              <w:rPr>
                <w:rFonts w:ascii="Times New Roman" w:eastAsia="Times New Roman" w:hAnsi="Times New Roman" w:cs="Times New Roman"/>
                <w:color w:val="000000"/>
                <w:sz w:val="24"/>
                <w:szCs w:val="24"/>
                <w:lang w:val="en-US" w:eastAsia="da-DK"/>
              </w:rPr>
              <w:t xml:space="preserve"> (2001)</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Croatia</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Serbian</w:t>
            </w:r>
            <w:proofErr w:type="spellEnd"/>
            <w:r w:rsidRPr="00032874">
              <w:rPr>
                <w:rFonts w:ascii="Times New Roman" w:eastAsia="Times New Roman" w:hAnsi="Times New Roman" w:cs="Times New Roman"/>
                <w:color w:val="000000"/>
                <w:sz w:val="24"/>
                <w:szCs w:val="24"/>
                <w:lang w:eastAsia="da-DK"/>
              </w:rPr>
              <w:t xml:space="preserve"> </w:t>
            </w:r>
            <w:proofErr w:type="spellStart"/>
            <w:r w:rsidRPr="00032874">
              <w:rPr>
                <w:rFonts w:ascii="Times New Roman" w:eastAsia="Times New Roman" w:hAnsi="Times New Roman" w:cs="Times New Roman"/>
                <w:color w:val="000000"/>
                <w:sz w:val="24"/>
                <w:szCs w:val="24"/>
                <w:lang w:eastAsia="da-DK"/>
              </w:rPr>
              <w:t>Democratic</w:t>
            </w:r>
            <w:proofErr w:type="spellEnd"/>
            <w:r w:rsidRPr="00032874">
              <w:rPr>
                <w:rFonts w:ascii="Times New Roman" w:eastAsia="Times New Roman" w:hAnsi="Times New Roman" w:cs="Times New Roman"/>
                <w:color w:val="000000"/>
                <w:sz w:val="24"/>
                <w:szCs w:val="24"/>
                <w:lang w:eastAsia="da-DK"/>
              </w:rPr>
              <w:t xml:space="preserve"> Party (SDS)</w:t>
            </w:r>
            <w:r w:rsidRPr="004A6EB9">
              <w:rPr>
                <w:rFonts w:ascii="Times New Roman" w:eastAsia="Times New Roman" w:hAnsi="Times New Roman" w:cs="Times New Roman"/>
                <w:color w:val="000000"/>
                <w:sz w:val="24"/>
                <w:szCs w:val="24"/>
                <w:lang w:eastAsia="da-DK"/>
              </w:rPr>
              <w:t xml:space="preserve"> (1995)</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Czech</w:t>
            </w:r>
            <w:proofErr w:type="spellEnd"/>
            <w:r w:rsidRPr="00032874">
              <w:rPr>
                <w:rFonts w:ascii="Times New Roman" w:eastAsia="Times New Roman" w:hAnsi="Times New Roman" w:cs="Times New Roman"/>
                <w:color w:val="000000"/>
                <w:sz w:val="24"/>
                <w:szCs w:val="24"/>
                <w:lang w:eastAsia="da-DK"/>
              </w:rPr>
              <w:t xml:space="preserve"> </w:t>
            </w:r>
            <w:proofErr w:type="spellStart"/>
            <w:r w:rsidRPr="00032874">
              <w:rPr>
                <w:rFonts w:ascii="Times New Roman" w:eastAsia="Times New Roman" w:hAnsi="Times New Roman" w:cs="Times New Roman"/>
                <w:color w:val="000000"/>
                <w:sz w:val="24"/>
                <w:szCs w:val="24"/>
                <w:lang w:eastAsia="da-DK"/>
              </w:rPr>
              <w:t>Republic</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Workers</w:t>
            </w:r>
            <w:proofErr w:type="spellEnd"/>
            <w:r w:rsidRPr="00032874">
              <w:rPr>
                <w:rFonts w:ascii="Times New Roman" w:eastAsia="Times New Roman" w:hAnsi="Times New Roman" w:cs="Times New Roman"/>
                <w:color w:val="000000"/>
                <w:sz w:val="24"/>
                <w:szCs w:val="24"/>
                <w:lang w:eastAsia="da-DK"/>
              </w:rPr>
              <w:t>´ Party (DS)</w:t>
            </w:r>
            <w:r w:rsidRPr="004A6EB9">
              <w:rPr>
                <w:rFonts w:ascii="Times New Roman" w:eastAsia="Times New Roman" w:hAnsi="Times New Roman" w:cs="Times New Roman"/>
                <w:color w:val="000000"/>
                <w:sz w:val="24"/>
                <w:szCs w:val="24"/>
                <w:lang w:eastAsia="da-DK"/>
              </w:rPr>
              <w:t xml:space="preserve"> (2010)</w:t>
            </w:r>
          </w:p>
        </w:tc>
      </w:tr>
      <w:tr w:rsidR="008C492D" w:rsidRPr="00032874" w:rsidTr="00895231">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032874">
              <w:rPr>
                <w:rFonts w:ascii="Times New Roman" w:eastAsia="Times New Roman" w:hAnsi="Times New Roman" w:cs="Times New Roman"/>
                <w:color w:val="000000"/>
                <w:sz w:val="24"/>
                <w:szCs w:val="24"/>
                <w:lang w:eastAsia="da-DK"/>
              </w:rPr>
              <w:t>France</w:t>
            </w: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032874">
              <w:rPr>
                <w:rFonts w:ascii="Times New Roman" w:eastAsia="Times New Roman" w:hAnsi="Times New Roman" w:cs="Times New Roman"/>
                <w:color w:val="000000"/>
                <w:sz w:val="24"/>
                <w:szCs w:val="24"/>
                <w:lang w:eastAsia="da-DK"/>
              </w:rPr>
              <w:t>Nationalist Party</w:t>
            </w:r>
            <w:r w:rsidRPr="004A6EB9">
              <w:rPr>
                <w:rFonts w:ascii="Times New Roman" w:eastAsia="Times New Roman" w:hAnsi="Times New Roman" w:cs="Times New Roman"/>
                <w:color w:val="000000"/>
                <w:sz w:val="24"/>
                <w:szCs w:val="24"/>
                <w:lang w:eastAsia="da-DK"/>
              </w:rPr>
              <w:t xml:space="preserve"> (1959)</w:t>
            </w:r>
          </w:p>
        </w:tc>
      </w:tr>
      <w:tr w:rsidR="008C492D" w:rsidRPr="00032874" w:rsidTr="00895231">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Pupu</w:t>
            </w:r>
            <w:proofErr w:type="spellEnd"/>
            <w:r w:rsidRPr="00032874">
              <w:rPr>
                <w:rFonts w:ascii="Times New Roman" w:eastAsia="Times New Roman" w:hAnsi="Times New Roman" w:cs="Times New Roman"/>
                <w:color w:val="000000"/>
                <w:sz w:val="24"/>
                <w:szCs w:val="24"/>
                <w:lang w:eastAsia="da-DK"/>
              </w:rPr>
              <w:t xml:space="preserve"> </w:t>
            </w:r>
            <w:proofErr w:type="spellStart"/>
            <w:r w:rsidRPr="00032874">
              <w:rPr>
                <w:rFonts w:ascii="Times New Roman" w:eastAsia="Times New Roman" w:hAnsi="Times New Roman" w:cs="Times New Roman"/>
                <w:color w:val="000000"/>
                <w:sz w:val="24"/>
                <w:szCs w:val="24"/>
                <w:lang w:eastAsia="da-DK"/>
              </w:rPr>
              <w:t>Tiama</w:t>
            </w:r>
            <w:proofErr w:type="spellEnd"/>
            <w:r w:rsidRPr="00032874">
              <w:rPr>
                <w:rFonts w:ascii="Times New Roman" w:eastAsia="Times New Roman" w:hAnsi="Times New Roman" w:cs="Times New Roman"/>
                <w:color w:val="000000"/>
                <w:sz w:val="24"/>
                <w:szCs w:val="24"/>
                <w:lang w:eastAsia="da-DK"/>
              </w:rPr>
              <w:t xml:space="preserve"> </w:t>
            </w:r>
            <w:proofErr w:type="spellStart"/>
            <w:r w:rsidRPr="00032874">
              <w:rPr>
                <w:rFonts w:ascii="Times New Roman" w:eastAsia="Times New Roman" w:hAnsi="Times New Roman" w:cs="Times New Roman"/>
                <w:color w:val="000000"/>
                <w:sz w:val="24"/>
                <w:szCs w:val="24"/>
                <w:lang w:eastAsia="da-DK"/>
              </w:rPr>
              <w:t>Maohi</w:t>
            </w:r>
            <w:proofErr w:type="spellEnd"/>
            <w:r w:rsidRPr="004A6EB9">
              <w:rPr>
                <w:rFonts w:ascii="Times New Roman" w:eastAsia="Times New Roman" w:hAnsi="Times New Roman" w:cs="Times New Roman"/>
                <w:color w:val="000000"/>
                <w:sz w:val="24"/>
                <w:szCs w:val="24"/>
                <w:lang w:eastAsia="da-DK"/>
              </w:rPr>
              <w:t xml:space="preserve"> (1963)</w:t>
            </w:r>
          </w:p>
        </w:tc>
      </w:tr>
      <w:tr w:rsidR="008C492D" w:rsidRPr="00032874" w:rsidTr="00895231">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Proletarian</w:t>
            </w:r>
            <w:proofErr w:type="spellEnd"/>
            <w:r w:rsidRPr="00032874">
              <w:rPr>
                <w:rFonts w:ascii="Times New Roman" w:eastAsia="Times New Roman" w:hAnsi="Times New Roman" w:cs="Times New Roman"/>
                <w:color w:val="000000"/>
                <w:sz w:val="24"/>
                <w:szCs w:val="24"/>
                <w:lang w:eastAsia="da-DK"/>
              </w:rPr>
              <w:t xml:space="preserve"> </w:t>
            </w:r>
            <w:proofErr w:type="spellStart"/>
            <w:r w:rsidRPr="00032874">
              <w:rPr>
                <w:rFonts w:ascii="Times New Roman" w:eastAsia="Times New Roman" w:hAnsi="Times New Roman" w:cs="Times New Roman"/>
                <w:color w:val="000000"/>
                <w:sz w:val="24"/>
                <w:szCs w:val="24"/>
                <w:lang w:eastAsia="da-DK"/>
              </w:rPr>
              <w:t>Left</w:t>
            </w:r>
            <w:proofErr w:type="spellEnd"/>
            <w:r w:rsidRPr="00032874">
              <w:rPr>
                <w:rFonts w:ascii="Times New Roman" w:eastAsia="Times New Roman" w:hAnsi="Times New Roman" w:cs="Times New Roman"/>
                <w:color w:val="000000"/>
                <w:sz w:val="24"/>
                <w:szCs w:val="24"/>
                <w:lang w:eastAsia="da-DK"/>
              </w:rPr>
              <w:t xml:space="preserve"> </w:t>
            </w:r>
            <w:r w:rsidRPr="004A6EB9">
              <w:rPr>
                <w:rFonts w:ascii="Times New Roman" w:eastAsia="Times New Roman" w:hAnsi="Times New Roman" w:cs="Times New Roman"/>
                <w:color w:val="000000"/>
                <w:sz w:val="24"/>
                <w:szCs w:val="24"/>
                <w:lang w:eastAsia="da-DK"/>
              </w:rPr>
              <w:t>(1970)</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Revolutionary</w:t>
            </w:r>
            <w:proofErr w:type="spellEnd"/>
            <w:r w:rsidRPr="00032874">
              <w:rPr>
                <w:rFonts w:ascii="Times New Roman" w:eastAsia="Times New Roman" w:hAnsi="Times New Roman" w:cs="Times New Roman"/>
                <w:color w:val="000000"/>
                <w:sz w:val="24"/>
                <w:szCs w:val="24"/>
                <w:lang w:eastAsia="da-DK"/>
              </w:rPr>
              <w:t xml:space="preserve"> </w:t>
            </w:r>
            <w:proofErr w:type="spellStart"/>
            <w:r w:rsidRPr="00032874">
              <w:rPr>
                <w:rFonts w:ascii="Times New Roman" w:eastAsia="Times New Roman" w:hAnsi="Times New Roman" w:cs="Times New Roman"/>
                <w:color w:val="000000"/>
                <w:sz w:val="24"/>
                <w:szCs w:val="24"/>
                <w:lang w:eastAsia="da-DK"/>
              </w:rPr>
              <w:t>Communist</w:t>
            </w:r>
            <w:proofErr w:type="spellEnd"/>
            <w:r w:rsidRPr="00032874">
              <w:rPr>
                <w:rFonts w:ascii="Times New Roman" w:eastAsia="Times New Roman" w:hAnsi="Times New Roman" w:cs="Times New Roman"/>
                <w:color w:val="000000"/>
                <w:sz w:val="24"/>
                <w:szCs w:val="24"/>
                <w:lang w:eastAsia="da-DK"/>
              </w:rPr>
              <w:t xml:space="preserve"> League</w:t>
            </w:r>
            <w:r w:rsidRPr="004A6EB9">
              <w:rPr>
                <w:rFonts w:ascii="Times New Roman" w:eastAsia="Times New Roman" w:hAnsi="Times New Roman" w:cs="Times New Roman"/>
                <w:color w:val="000000"/>
                <w:sz w:val="24"/>
                <w:szCs w:val="24"/>
                <w:lang w:eastAsia="da-DK"/>
              </w:rPr>
              <w:t xml:space="preserve"> (1973)</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Enbata</w:t>
            </w:r>
            <w:proofErr w:type="spellEnd"/>
            <w:r w:rsidRPr="004A6EB9">
              <w:rPr>
                <w:rFonts w:ascii="Times New Roman" w:eastAsia="Times New Roman" w:hAnsi="Times New Roman" w:cs="Times New Roman"/>
                <w:color w:val="000000"/>
                <w:sz w:val="24"/>
                <w:szCs w:val="24"/>
                <w:lang w:eastAsia="da-DK"/>
              </w:rPr>
              <w:t xml:space="preserve"> (1974)</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Corsican Movement for Self-determination</w:t>
            </w:r>
            <w:r w:rsidRPr="004A6EB9">
              <w:rPr>
                <w:rFonts w:ascii="Times New Roman" w:eastAsia="Times New Roman" w:hAnsi="Times New Roman" w:cs="Times New Roman"/>
                <w:color w:val="000000"/>
                <w:sz w:val="24"/>
                <w:szCs w:val="24"/>
                <w:lang w:val="en-US" w:eastAsia="da-DK"/>
              </w:rPr>
              <w:t xml:space="preserve"> (1987)</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Federation of National and European Action</w:t>
            </w:r>
            <w:r w:rsidRPr="004A6EB9">
              <w:rPr>
                <w:rFonts w:ascii="Times New Roman" w:eastAsia="Times New Roman" w:hAnsi="Times New Roman" w:cs="Times New Roman"/>
                <w:color w:val="000000"/>
                <w:sz w:val="24"/>
                <w:szCs w:val="24"/>
                <w:lang w:val="en-US" w:eastAsia="da-DK"/>
              </w:rPr>
              <w:t xml:space="preserve"> (1980)</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Radical</w:t>
            </w:r>
            <w:proofErr w:type="spellEnd"/>
            <w:r w:rsidRPr="00032874">
              <w:rPr>
                <w:rFonts w:ascii="Times New Roman" w:eastAsia="Times New Roman" w:hAnsi="Times New Roman" w:cs="Times New Roman"/>
                <w:color w:val="000000"/>
                <w:sz w:val="24"/>
                <w:szCs w:val="24"/>
                <w:lang w:eastAsia="da-DK"/>
              </w:rPr>
              <w:t xml:space="preserve"> </w:t>
            </w:r>
            <w:proofErr w:type="spellStart"/>
            <w:r w:rsidRPr="00032874">
              <w:rPr>
                <w:rFonts w:ascii="Times New Roman" w:eastAsia="Times New Roman" w:hAnsi="Times New Roman" w:cs="Times New Roman"/>
                <w:color w:val="000000"/>
                <w:sz w:val="24"/>
                <w:szCs w:val="24"/>
                <w:lang w:eastAsia="da-DK"/>
              </w:rPr>
              <w:t>Unity</w:t>
            </w:r>
            <w:proofErr w:type="spellEnd"/>
            <w:r w:rsidRPr="004A6EB9">
              <w:rPr>
                <w:rFonts w:ascii="Times New Roman" w:eastAsia="Times New Roman" w:hAnsi="Times New Roman" w:cs="Times New Roman"/>
                <w:color w:val="000000"/>
                <w:sz w:val="24"/>
                <w:szCs w:val="24"/>
                <w:lang w:eastAsia="da-DK"/>
              </w:rPr>
              <w:t xml:space="preserve"> (2002)</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032874">
              <w:rPr>
                <w:rFonts w:ascii="Times New Roman" w:eastAsia="Times New Roman" w:hAnsi="Times New Roman" w:cs="Times New Roman"/>
                <w:color w:val="000000"/>
                <w:sz w:val="24"/>
                <w:szCs w:val="24"/>
                <w:lang w:eastAsia="da-DK"/>
              </w:rPr>
              <w:t>Germany</w:t>
            </w: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032874">
              <w:rPr>
                <w:rFonts w:ascii="Times New Roman" w:eastAsia="Times New Roman" w:hAnsi="Times New Roman" w:cs="Times New Roman"/>
                <w:color w:val="000000"/>
                <w:sz w:val="24"/>
                <w:szCs w:val="24"/>
                <w:lang w:eastAsia="da-DK"/>
              </w:rPr>
              <w:t>Socialist Reich Party (SRD)</w:t>
            </w:r>
            <w:r w:rsidRPr="004A6EB9">
              <w:rPr>
                <w:rFonts w:ascii="Times New Roman" w:eastAsia="Times New Roman" w:hAnsi="Times New Roman" w:cs="Times New Roman"/>
                <w:color w:val="000000"/>
                <w:sz w:val="24"/>
                <w:szCs w:val="24"/>
                <w:lang w:eastAsia="da-DK"/>
              </w:rPr>
              <w:t xml:space="preserve"> (1952)</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Communist Party of Germany (KPD)</w:t>
            </w:r>
            <w:r w:rsidRPr="004A6EB9">
              <w:rPr>
                <w:rFonts w:ascii="Times New Roman" w:eastAsia="Times New Roman" w:hAnsi="Times New Roman" w:cs="Times New Roman"/>
                <w:color w:val="000000"/>
                <w:sz w:val="24"/>
                <w:szCs w:val="24"/>
                <w:lang w:val="en-US" w:eastAsia="da-DK"/>
              </w:rPr>
              <w:t xml:space="preserve"> (1956)</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National Democratic Party of Germany (NPD)</w:t>
            </w:r>
            <w:r w:rsidRPr="004A6EB9">
              <w:rPr>
                <w:rFonts w:ascii="Times New Roman" w:eastAsia="Times New Roman" w:hAnsi="Times New Roman" w:cs="Times New Roman"/>
                <w:color w:val="000000"/>
                <w:sz w:val="24"/>
                <w:szCs w:val="24"/>
                <w:lang w:val="en-US" w:eastAsia="da-DK"/>
              </w:rPr>
              <w:t xml:space="preserve"> (2013 ongoing)</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Greece</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Communist Party of Greece (KKE)</w:t>
            </w:r>
            <w:r w:rsidRPr="004A6EB9">
              <w:rPr>
                <w:rFonts w:ascii="Times New Roman" w:eastAsia="Times New Roman" w:hAnsi="Times New Roman" w:cs="Times New Roman"/>
                <w:color w:val="000000"/>
                <w:sz w:val="24"/>
                <w:szCs w:val="24"/>
                <w:lang w:val="en-US" w:eastAsia="da-DK"/>
              </w:rPr>
              <w:t xml:space="preserve"> (1948</w:t>
            </w:r>
            <w:r>
              <w:rPr>
                <w:rFonts w:ascii="Times New Roman" w:eastAsia="Times New Roman" w:hAnsi="Times New Roman" w:cs="Times New Roman"/>
                <w:color w:val="000000"/>
                <w:sz w:val="24"/>
                <w:szCs w:val="24"/>
                <w:lang w:val="en-US" w:eastAsia="da-DK"/>
              </w:rPr>
              <w:t>)</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FC1083"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FC1083">
              <w:rPr>
                <w:rFonts w:ascii="Times New Roman" w:eastAsia="Times New Roman" w:hAnsi="Times New Roman" w:cs="Times New Roman"/>
                <w:color w:val="000000"/>
                <w:sz w:val="24"/>
                <w:szCs w:val="24"/>
                <w:lang w:eastAsia="da-DK"/>
              </w:rPr>
              <w:t>Italy</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FC1083" w:rsidRDefault="008C492D" w:rsidP="00895231">
            <w:pPr>
              <w:spacing w:after="0" w:line="240" w:lineRule="auto"/>
              <w:rPr>
                <w:rFonts w:ascii="Times New Roman" w:eastAsia="Times New Roman" w:hAnsi="Times New Roman" w:cs="Times New Roman"/>
                <w:color w:val="000000"/>
                <w:sz w:val="24"/>
                <w:szCs w:val="24"/>
                <w:lang w:eastAsia="da-DK"/>
              </w:rPr>
            </w:pPr>
            <w:r w:rsidRPr="00FC1083">
              <w:rPr>
                <w:rFonts w:ascii="Times New Roman" w:eastAsia="Times New Roman" w:hAnsi="Times New Roman" w:cs="Times New Roman"/>
                <w:color w:val="000000"/>
                <w:sz w:val="24"/>
                <w:szCs w:val="24"/>
                <w:lang w:eastAsia="da-DK"/>
              </w:rPr>
              <w:t>National Fascist Party (PNF) (1947)</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FC1083"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FC1083"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FC1083">
              <w:rPr>
                <w:rFonts w:ascii="Times New Roman" w:eastAsia="Times New Roman" w:hAnsi="Times New Roman" w:cs="Times New Roman"/>
                <w:color w:val="000000"/>
                <w:sz w:val="24"/>
                <w:szCs w:val="24"/>
                <w:lang w:eastAsia="da-DK"/>
              </w:rPr>
              <w:t>Republican</w:t>
            </w:r>
            <w:proofErr w:type="spellEnd"/>
            <w:r w:rsidRPr="00FC1083">
              <w:rPr>
                <w:rFonts w:ascii="Times New Roman" w:eastAsia="Times New Roman" w:hAnsi="Times New Roman" w:cs="Times New Roman"/>
                <w:color w:val="000000"/>
                <w:sz w:val="24"/>
                <w:szCs w:val="24"/>
                <w:lang w:eastAsia="da-DK"/>
              </w:rPr>
              <w:t xml:space="preserve"> Fascist Party (PFR) (1947)</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Latvia</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Communist Party of Latvia (LKP)</w:t>
            </w:r>
            <w:r w:rsidRPr="004A6EB9">
              <w:rPr>
                <w:rFonts w:ascii="Times New Roman" w:eastAsia="Times New Roman" w:hAnsi="Times New Roman" w:cs="Times New Roman"/>
                <w:color w:val="000000"/>
                <w:sz w:val="24"/>
                <w:szCs w:val="24"/>
                <w:lang w:val="en-US" w:eastAsia="da-DK"/>
              </w:rPr>
              <w:t xml:space="preserve"> (1991)</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B12D2F" w:rsidRDefault="008C492D" w:rsidP="00895231">
            <w:pPr>
              <w:spacing w:after="0" w:line="240" w:lineRule="auto"/>
              <w:rPr>
                <w:rFonts w:ascii="Times New Roman" w:eastAsia="Times New Roman" w:hAnsi="Times New Roman" w:cs="Times New Roman"/>
                <w:sz w:val="24"/>
                <w:szCs w:val="24"/>
                <w:lang w:eastAsia="da-DK"/>
              </w:rPr>
            </w:pPr>
            <w:proofErr w:type="spellStart"/>
            <w:r w:rsidRPr="00B12D2F">
              <w:rPr>
                <w:rFonts w:ascii="Times New Roman" w:eastAsia="Times New Roman" w:hAnsi="Times New Roman" w:cs="Times New Roman"/>
                <w:sz w:val="24"/>
                <w:szCs w:val="24"/>
                <w:lang w:eastAsia="da-DK"/>
              </w:rPr>
              <w:t>Lithuania</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B12D2F" w:rsidRDefault="008C492D" w:rsidP="00895231">
            <w:pPr>
              <w:spacing w:after="0" w:line="240" w:lineRule="auto"/>
              <w:rPr>
                <w:rFonts w:ascii="Times New Roman" w:eastAsia="Times New Roman" w:hAnsi="Times New Roman" w:cs="Times New Roman"/>
                <w:sz w:val="24"/>
                <w:szCs w:val="24"/>
                <w:lang w:eastAsia="da-DK"/>
              </w:rPr>
            </w:pPr>
            <w:proofErr w:type="spellStart"/>
            <w:r w:rsidRPr="00B12D2F">
              <w:rPr>
                <w:rFonts w:ascii="Times New Roman" w:eastAsia="Times New Roman" w:hAnsi="Times New Roman" w:cs="Times New Roman"/>
                <w:sz w:val="24"/>
                <w:szCs w:val="24"/>
                <w:lang w:eastAsia="da-DK"/>
              </w:rPr>
              <w:t>Communist</w:t>
            </w:r>
            <w:proofErr w:type="spellEnd"/>
            <w:r w:rsidRPr="00B12D2F">
              <w:rPr>
                <w:rFonts w:ascii="Times New Roman" w:eastAsia="Times New Roman" w:hAnsi="Times New Roman" w:cs="Times New Roman"/>
                <w:sz w:val="24"/>
                <w:szCs w:val="24"/>
                <w:lang w:eastAsia="da-DK"/>
              </w:rPr>
              <w:t xml:space="preserve"> Party of </w:t>
            </w:r>
            <w:proofErr w:type="spellStart"/>
            <w:r w:rsidRPr="00B12D2F">
              <w:rPr>
                <w:rFonts w:ascii="Times New Roman" w:eastAsia="Times New Roman" w:hAnsi="Times New Roman" w:cs="Times New Roman"/>
                <w:sz w:val="24"/>
                <w:szCs w:val="24"/>
                <w:lang w:eastAsia="da-DK"/>
              </w:rPr>
              <w:t>Lithuania</w:t>
            </w:r>
            <w:proofErr w:type="spellEnd"/>
            <w:r w:rsidRPr="00B12D2F">
              <w:rPr>
                <w:rFonts w:ascii="Times New Roman" w:eastAsia="Times New Roman" w:hAnsi="Times New Roman" w:cs="Times New Roman"/>
                <w:sz w:val="24"/>
                <w:szCs w:val="24"/>
                <w:lang w:eastAsia="da-DK"/>
              </w:rPr>
              <w:t xml:space="preserve"> (1991)</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4A6EB9">
              <w:rPr>
                <w:rFonts w:ascii="Times New Roman" w:eastAsia="Times New Roman" w:hAnsi="Times New Roman" w:cs="Times New Roman"/>
                <w:color w:val="000000"/>
                <w:sz w:val="24"/>
                <w:szCs w:val="24"/>
                <w:lang w:eastAsia="da-DK"/>
              </w:rPr>
              <w:t xml:space="preserve">The </w:t>
            </w:r>
            <w:proofErr w:type="spellStart"/>
            <w:r w:rsidRPr="004A6EB9">
              <w:rPr>
                <w:rFonts w:ascii="Times New Roman" w:eastAsia="Times New Roman" w:hAnsi="Times New Roman" w:cs="Times New Roman"/>
                <w:color w:val="000000"/>
                <w:sz w:val="24"/>
                <w:szCs w:val="24"/>
                <w:lang w:eastAsia="da-DK"/>
              </w:rPr>
              <w:t>Netherlands</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National Socialist Movement in The Netherlands (NSB</w:t>
            </w:r>
            <w:r w:rsidRPr="004A6EB9">
              <w:rPr>
                <w:rFonts w:ascii="Times New Roman" w:eastAsia="Times New Roman" w:hAnsi="Times New Roman" w:cs="Times New Roman"/>
                <w:color w:val="000000"/>
                <w:sz w:val="24"/>
                <w:szCs w:val="24"/>
                <w:lang w:val="en-US" w:eastAsia="da-DK"/>
              </w:rPr>
              <w:t>) (1945)</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National European Social Movement (NESB)</w:t>
            </w:r>
            <w:r w:rsidRPr="004A6EB9">
              <w:rPr>
                <w:rFonts w:ascii="Times New Roman" w:eastAsia="Times New Roman" w:hAnsi="Times New Roman" w:cs="Times New Roman"/>
                <w:color w:val="000000"/>
                <w:sz w:val="24"/>
                <w:szCs w:val="24"/>
                <w:lang w:val="en-US" w:eastAsia="da-DK"/>
              </w:rPr>
              <w:t xml:space="preserve"> (1955)</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032874">
              <w:rPr>
                <w:rFonts w:ascii="Times New Roman" w:eastAsia="Times New Roman" w:hAnsi="Times New Roman" w:cs="Times New Roman"/>
                <w:color w:val="000000"/>
                <w:sz w:val="24"/>
                <w:szCs w:val="24"/>
                <w:lang w:eastAsia="da-DK"/>
              </w:rPr>
              <w:t>Dutch Peoples-Union (NVU)</w:t>
            </w:r>
            <w:r w:rsidRPr="004A6EB9">
              <w:rPr>
                <w:rFonts w:ascii="Times New Roman" w:eastAsia="Times New Roman" w:hAnsi="Times New Roman" w:cs="Times New Roman"/>
                <w:color w:val="000000"/>
                <w:sz w:val="24"/>
                <w:szCs w:val="24"/>
                <w:lang w:eastAsia="da-DK"/>
              </w:rPr>
              <w:t xml:space="preserve"> 1978)</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032874">
              <w:rPr>
                <w:rFonts w:ascii="Times New Roman" w:eastAsia="Times New Roman" w:hAnsi="Times New Roman" w:cs="Times New Roman"/>
                <w:color w:val="000000"/>
                <w:sz w:val="24"/>
                <w:szCs w:val="24"/>
                <w:lang w:eastAsia="da-DK"/>
              </w:rPr>
              <w:t>Centre Party´86 (CP´86)</w:t>
            </w:r>
            <w:r>
              <w:rPr>
                <w:rFonts w:ascii="Times New Roman" w:eastAsia="Times New Roman" w:hAnsi="Times New Roman" w:cs="Times New Roman"/>
                <w:color w:val="000000"/>
                <w:sz w:val="24"/>
                <w:szCs w:val="24"/>
                <w:lang w:eastAsia="da-DK"/>
              </w:rPr>
              <w:t xml:space="preserve"> (1998</w:t>
            </w:r>
            <w:r w:rsidRPr="004A6EB9">
              <w:rPr>
                <w:rFonts w:ascii="Times New Roman" w:eastAsia="Times New Roman" w:hAnsi="Times New Roman" w:cs="Times New Roman"/>
                <w:color w:val="000000"/>
                <w:sz w:val="24"/>
                <w:szCs w:val="24"/>
                <w:lang w:eastAsia="da-DK"/>
              </w:rPr>
              <w:t>)</w:t>
            </w:r>
          </w:p>
        </w:tc>
      </w:tr>
      <w:tr w:rsidR="00A2338B"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38B" w:rsidRPr="00032874" w:rsidRDefault="00A2338B" w:rsidP="00895231">
            <w:pPr>
              <w:spacing w:after="0" w:line="240" w:lineRule="auto"/>
              <w:rPr>
                <w:rFonts w:ascii="Times New Roman" w:eastAsia="Times New Roman" w:hAnsi="Times New Roman" w:cs="Times New Roman"/>
                <w:color w:val="000000"/>
                <w:sz w:val="24"/>
                <w:szCs w:val="24"/>
                <w:lang w:eastAsia="da-DK"/>
              </w:rPr>
            </w:pPr>
            <w:proofErr w:type="spellStart"/>
            <w:r>
              <w:rPr>
                <w:rFonts w:ascii="Times New Roman" w:eastAsia="Times New Roman" w:hAnsi="Times New Roman" w:cs="Times New Roman"/>
                <w:color w:val="000000"/>
                <w:sz w:val="24"/>
                <w:szCs w:val="24"/>
                <w:lang w:eastAsia="da-DK"/>
              </w:rPr>
              <w:t>Romania</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38B" w:rsidRPr="00032874" w:rsidRDefault="00A2338B" w:rsidP="00895231">
            <w:pPr>
              <w:spacing w:after="0" w:line="240" w:lineRule="auto"/>
              <w:rPr>
                <w:rFonts w:ascii="Times New Roman" w:eastAsia="Times New Roman" w:hAnsi="Times New Roman" w:cs="Times New Roman"/>
                <w:color w:val="000000"/>
                <w:sz w:val="24"/>
                <w:szCs w:val="24"/>
                <w:lang w:eastAsia="da-DK"/>
              </w:rPr>
            </w:pPr>
            <w:proofErr w:type="spellStart"/>
            <w:r>
              <w:rPr>
                <w:rFonts w:ascii="Times New Roman" w:eastAsia="Times New Roman" w:hAnsi="Times New Roman" w:cs="Times New Roman"/>
                <w:color w:val="000000"/>
                <w:sz w:val="24"/>
                <w:szCs w:val="24"/>
                <w:lang w:eastAsia="da-DK"/>
              </w:rPr>
              <w:t>Communist</w:t>
            </w:r>
            <w:proofErr w:type="spellEnd"/>
            <w:r>
              <w:rPr>
                <w:rFonts w:ascii="Times New Roman" w:eastAsia="Times New Roman" w:hAnsi="Times New Roman" w:cs="Times New Roman"/>
                <w:color w:val="000000"/>
                <w:sz w:val="24"/>
                <w:szCs w:val="24"/>
                <w:lang w:eastAsia="da-DK"/>
              </w:rPr>
              <w:t xml:space="preserve"> Party (</w:t>
            </w:r>
            <w:proofErr w:type="spellStart"/>
            <w:r>
              <w:rPr>
                <w:rFonts w:ascii="Times New Roman" w:eastAsia="Times New Roman" w:hAnsi="Times New Roman" w:cs="Times New Roman"/>
                <w:color w:val="000000"/>
                <w:sz w:val="24"/>
                <w:szCs w:val="24"/>
                <w:lang w:eastAsia="da-DK"/>
              </w:rPr>
              <w:t>Nepeceristi</w:t>
            </w:r>
            <w:proofErr w:type="spellEnd"/>
            <w:r>
              <w:rPr>
                <w:rFonts w:ascii="Times New Roman" w:eastAsia="Times New Roman" w:hAnsi="Times New Roman" w:cs="Times New Roman"/>
                <w:color w:val="000000"/>
                <w:sz w:val="24"/>
                <w:szCs w:val="24"/>
                <w:lang w:eastAsia="da-DK"/>
              </w:rPr>
              <w:t>) (PCN)</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Slovakia</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r w:rsidRPr="00032874">
              <w:rPr>
                <w:rFonts w:ascii="Times New Roman" w:eastAsia="Times New Roman" w:hAnsi="Times New Roman" w:cs="Times New Roman"/>
                <w:color w:val="000000"/>
                <w:sz w:val="24"/>
                <w:szCs w:val="24"/>
                <w:lang w:val="en-US" w:eastAsia="da-DK"/>
              </w:rPr>
              <w:t>Slovak Community-National Party (SP-NS)</w:t>
            </w:r>
            <w:r w:rsidRPr="004A6EB9">
              <w:rPr>
                <w:rFonts w:ascii="Times New Roman" w:eastAsia="Times New Roman" w:hAnsi="Times New Roman" w:cs="Times New Roman"/>
                <w:color w:val="000000"/>
                <w:sz w:val="24"/>
                <w:szCs w:val="24"/>
                <w:lang w:val="en-US" w:eastAsia="da-DK"/>
              </w:rPr>
              <w:t xml:space="preserve"> (2006)</w:t>
            </w:r>
            <w:r w:rsidRPr="00032874">
              <w:rPr>
                <w:rFonts w:ascii="Times New Roman" w:eastAsia="Times New Roman" w:hAnsi="Times New Roman" w:cs="Times New Roman"/>
                <w:color w:val="000000"/>
                <w:sz w:val="24"/>
                <w:szCs w:val="24"/>
                <w:lang w:val="en-US" w:eastAsia="da-DK"/>
              </w:rPr>
              <w:t xml:space="preserve"> </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sidRPr="00032874">
              <w:rPr>
                <w:rFonts w:ascii="Times New Roman" w:eastAsia="Times New Roman" w:hAnsi="Times New Roman" w:cs="Times New Roman"/>
                <w:color w:val="000000"/>
                <w:sz w:val="24"/>
                <w:szCs w:val="24"/>
                <w:lang w:eastAsia="da-DK"/>
              </w:rPr>
              <w:t>Spain</w:t>
            </w: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i/>
                <w:iCs/>
                <w:color w:val="000000"/>
                <w:sz w:val="24"/>
                <w:szCs w:val="24"/>
                <w:lang w:eastAsia="da-DK"/>
              </w:rPr>
            </w:pPr>
            <w:proofErr w:type="spellStart"/>
            <w:r w:rsidRPr="00032874">
              <w:rPr>
                <w:rFonts w:ascii="Times New Roman" w:eastAsia="Times New Roman" w:hAnsi="Times New Roman" w:cs="Times New Roman"/>
                <w:i/>
                <w:iCs/>
                <w:color w:val="000000"/>
                <w:sz w:val="24"/>
                <w:szCs w:val="24"/>
                <w:lang w:eastAsia="da-DK"/>
              </w:rPr>
              <w:t>Herri</w:t>
            </w:r>
            <w:proofErr w:type="spellEnd"/>
            <w:r w:rsidRPr="00032874">
              <w:rPr>
                <w:rFonts w:ascii="Times New Roman" w:eastAsia="Times New Roman" w:hAnsi="Times New Roman" w:cs="Times New Roman"/>
                <w:i/>
                <w:iCs/>
                <w:color w:val="000000"/>
                <w:sz w:val="24"/>
                <w:szCs w:val="24"/>
                <w:lang w:eastAsia="da-DK"/>
              </w:rPr>
              <w:t xml:space="preserve"> </w:t>
            </w:r>
            <w:proofErr w:type="spellStart"/>
            <w:r w:rsidRPr="00032874">
              <w:rPr>
                <w:rFonts w:ascii="Times New Roman" w:eastAsia="Times New Roman" w:hAnsi="Times New Roman" w:cs="Times New Roman"/>
                <w:i/>
                <w:iCs/>
                <w:color w:val="000000"/>
                <w:sz w:val="24"/>
                <w:szCs w:val="24"/>
                <w:lang w:eastAsia="da-DK"/>
              </w:rPr>
              <w:t>Batasuna</w:t>
            </w:r>
            <w:proofErr w:type="spellEnd"/>
            <w:r w:rsidRPr="004A6EB9">
              <w:rPr>
                <w:rFonts w:ascii="Times New Roman" w:eastAsia="Times New Roman" w:hAnsi="Times New Roman" w:cs="Times New Roman"/>
                <w:i/>
                <w:iCs/>
                <w:color w:val="000000"/>
                <w:sz w:val="24"/>
                <w:szCs w:val="24"/>
                <w:lang w:eastAsia="da-DK"/>
              </w:rPr>
              <w:t xml:space="preserve"> </w:t>
            </w:r>
            <w:r w:rsidRPr="004A6EB9">
              <w:rPr>
                <w:rFonts w:ascii="Times New Roman" w:eastAsia="Times New Roman" w:hAnsi="Times New Roman" w:cs="Times New Roman"/>
                <w:iCs/>
                <w:color w:val="000000"/>
                <w:sz w:val="24"/>
                <w:szCs w:val="24"/>
                <w:lang w:eastAsia="da-DK"/>
              </w:rPr>
              <w:t>(2003)</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iCs/>
                <w:color w:val="000000"/>
                <w:sz w:val="24"/>
                <w:szCs w:val="24"/>
                <w:lang w:eastAsia="da-DK"/>
              </w:rPr>
            </w:pPr>
            <w:proofErr w:type="spellStart"/>
            <w:r w:rsidRPr="00032874">
              <w:rPr>
                <w:rFonts w:ascii="Times New Roman" w:eastAsia="Times New Roman" w:hAnsi="Times New Roman" w:cs="Times New Roman"/>
                <w:i/>
                <w:iCs/>
                <w:color w:val="000000"/>
                <w:sz w:val="24"/>
                <w:szCs w:val="24"/>
                <w:lang w:eastAsia="da-DK"/>
              </w:rPr>
              <w:t>Euskal</w:t>
            </w:r>
            <w:proofErr w:type="spellEnd"/>
            <w:r w:rsidRPr="00032874">
              <w:rPr>
                <w:rFonts w:ascii="Times New Roman" w:eastAsia="Times New Roman" w:hAnsi="Times New Roman" w:cs="Times New Roman"/>
                <w:i/>
                <w:iCs/>
                <w:color w:val="000000"/>
                <w:sz w:val="24"/>
                <w:szCs w:val="24"/>
                <w:lang w:eastAsia="da-DK"/>
              </w:rPr>
              <w:t xml:space="preserve"> </w:t>
            </w:r>
            <w:proofErr w:type="spellStart"/>
            <w:r w:rsidRPr="00032874">
              <w:rPr>
                <w:rFonts w:ascii="Times New Roman" w:eastAsia="Times New Roman" w:hAnsi="Times New Roman" w:cs="Times New Roman"/>
                <w:i/>
                <w:iCs/>
                <w:color w:val="000000"/>
                <w:sz w:val="24"/>
                <w:szCs w:val="24"/>
                <w:lang w:eastAsia="da-DK"/>
              </w:rPr>
              <w:t>Herritarrok</w:t>
            </w:r>
            <w:proofErr w:type="spellEnd"/>
            <w:r w:rsidRPr="004A6EB9">
              <w:rPr>
                <w:rFonts w:ascii="Times New Roman" w:eastAsia="Times New Roman" w:hAnsi="Times New Roman" w:cs="Times New Roman"/>
                <w:iCs/>
                <w:color w:val="000000"/>
                <w:sz w:val="24"/>
                <w:szCs w:val="24"/>
                <w:lang w:eastAsia="da-DK"/>
              </w:rPr>
              <w:t xml:space="preserve"> (2003)</w:t>
            </w:r>
          </w:p>
        </w:tc>
      </w:tr>
      <w:tr w:rsidR="008C492D" w:rsidRPr="00032874" w:rsidTr="00895231">
        <w:trPr>
          <w:trHeight w:val="285"/>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i/>
                <w:iCs/>
                <w:color w:val="000000"/>
                <w:sz w:val="24"/>
                <w:szCs w:val="24"/>
                <w:lang w:eastAsia="da-DK"/>
              </w:rPr>
            </w:pPr>
            <w:proofErr w:type="spellStart"/>
            <w:r w:rsidRPr="00032874">
              <w:rPr>
                <w:rFonts w:ascii="Times New Roman" w:eastAsia="Times New Roman" w:hAnsi="Times New Roman" w:cs="Times New Roman"/>
                <w:i/>
                <w:iCs/>
                <w:color w:val="000000"/>
                <w:sz w:val="24"/>
                <w:szCs w:val="24"/>
                <w:lang w:eastAsia="da-DK"/>
              </w:rPr>
              <w:t>Batasuna</w:t>
            </w:r>
            <w:proofErr w:type="spellEnd"/>
            <w:r w:rsidRPr="004A6EB9">
              <w:rPr>
                <w:rFonts w:ascii="Times New Roman" w:eastAsia="Times New Roman" w:hAnsi="Times New Roman" w:cs="Times New Roman"/>
                <w:i/>
                <w:iCs/>
                <w:color w:val="000000"/>
                <w:sz w:val="24"/>
                <w:szCs w:val="24"/>
                <w:lang w:eastAsia="da-DK"/>
              </w:rPr>
              <w:t xml:space="preserve"> </w:t>
            </w:r>
            <w:r w:rsidRPr="004A6EB9">
              <w:rPr>
                <w:rFonts w:ascii="Times New Roman" w:eastAsia="Times New Roman" w:hAnsi="Times New Roman" w:cs="Times New Roman"/>
                <w:iCs/>
                <w:color w:val="000000"/>
                <w:sz w:val="24"/>
                <w:szCs w:val="24"/>
                <w:lang w:eastAsia="da-DK"/>
              </w:rPr>
              <w:t>(2003)</w:t>
            </w:r>
          </w:p>
        </w:tc>
      </w:tr>
      <w:tr w:rsidR="008C492D" w:rsidRPr="00032874" w:rsidTr="00895231">
        <w:trPr>
          <w:trHeight w:val="285"/>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i/>
                <w:iCs/>
                <w:color w:val="000000"/>
                <w:sz w:val="24"/>
                <w:szCs w:val="24"/>
                <w:lang w:eastAsia="da-DK"/>
              </w:rPr>
            </w:pPr>
            <w:r w:rsidRPr="00032874">
              <w:rPr>
                <w:rFonts w:ascii="Times New Roman" w:eastAsia="Times New Roman" w:hAnsi="Times New Roman" w:cs="Times New Roman"/>
                <w:i/>
                <w:iCs/>
                <w:color w:val="000000"/>
                <w:sz w:val="24"/>
                <w:szCs w:val="24"/>
                <w:lang w:eastAsia="da-DK"/>
              </w:rPr>
              <w:t>*</w:t>
            </w:r>
            <w:proofErr w:type="spellStart"/>
            <w:r w:rsidRPr="00032874">
              <w:rPr>
                <w:rFonts w:ascii="Times New Roman" w:eastAsia="Times New Roman" w:hAnsi="Times New Roman" w:cs="Times New Roman"/>
                <w:i/>
                <w:iCs/>
                <w:color w:val="000000"/>
                <w:sz w:val="24"/>
                <w:szCs w:val="24"/>
                <w:lang w:eastAsia="da-DK"/>
              </w:rPr>
              <w:t>Abertzale</w:t>
            </w:r>
            <w:proofErr w:type="spellEnd"/>
            <w:r w:rsidRPr="00032874">
              <w:rPr>
                <w:rFonts w:ascii="Times New Roman" w:eastAsia="Times New Roman" w:hAnsi="Times New Roman" w:cs="Times New Roman"/>
                <w:i/>
                <w:iCs/>
                <w:color w:val="000000"/>
                <w:sz w:val="24"/>
                <w:szCs w:val="24"/>
                <w:lang w:eastAsia="da-DK"/>
              </w:rPr>
              <w:t xml:space="preserve"> </w:t>
            </w:r>
            <w:proofErr w:type="spellStart"/>
            <w:r w:rsidRPr="00032874">
              <w:rPr>
                <w:rFonts w:ascii="Times New Roman" w:eastAsia="Times New Roman" w:hAnsi="Times New Roman" w:cs="Times New Roman"/>
                <w:i/>
                <w:iCs/>
                <w:color w:val="000000"/>
                <w:sz w:val="24"/>
                <w:szCs w:val="24"/>
                <w:lang w:eastAsia="da-DK"/>
              </w:rPr>
              <w:t>Sozialisten</w:t>
            </w:r>
            <w:proofErr w:type="spellEnd"/>
            <w:r w:rsidRPr="00032874">
              <w:rPr>
                <w:rFonts w:ascii="Times New Roman" w:eastAsia="Times New Roman" w:hAnsi="Times New Roman" w:cs="Times New Roman"/>
                <w:i/>
                <w:iCs/>
                <w:color w:val="000000"/>
                <w:sz w:val="24"/>
                <w:szCs w:val="24"/>
                <w:lang w:eastAsia="da-DK"/>
              </w:rPr>
              <w:t xml:space="preserve"> </w:t>
            </w:r>
            <w:proofErr w:type="spellStart"/>
            <w:r w:rsidRPr="00032874">
              <w:rPr>
                <w:rFonts w:ascii="Times New Roman" w:eastAsia="Times New Roman" w:hAnsi="Times New Roman" w:cs="Times New Roman"/>
                <w:i/>
                <w:iCs/>
                <w:color w:val="000000"/>
                <w:sz w:val="24"/>
                <w:szCs w:val="24"/>
                <w:lang w:eastAsia="da-DK"/>
              </w:rPr>
              <w:t>Batasuna</w:t>
            </w:r>
            <w:proofErr w:type="spellEnd"/>
            <w:r w:rsidRPr="004A6EB9">
              <w:rPr>
                <w:rFonts w:ascii="Times New Roman" w:eastAsia="Times New Roman" w:hAnsi="Times New Roman" w:cs="Times New Roman"/>
                <w:i/>
                <w:iCs/>
                <w:color w:val="000000"/>
                <w:sz w:val="24"/>
                <w:szCs w:val="24"/>
                <w:lang w:eastAsia="da-DK"/>
              </w:rPr>
              <w:t xml:space="preserve"> (2007/8)</w:t>
            </w:r>
          </w:p>
        </w:tc>
      </w:tr>
      <w:tr w:rsidR="008C492D" w:rsidRPr="00032874" w:rsidTr="00895231">
        <w:trPr>
          <w:trHeight w:val="285"/>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i/>
                <w:iCs/>
                <w:color w:val="000000"/>
                <w:sz w:val="24"/>
                <w:szCs w:val="24"/>
                <w:lang w:eastAsia="da-DK"/>
              </w:rPr>
            </w:pPr>
            <w:proofErr w:type="spellStart"/>
            <w:r w:rsidRPr="00032874">
              <w:rPr>
                <w:rFonts w:ascii="Times New Roman" w:eastAsia="Times New Roman" w:hAnsi="Times New Roman" w:cs="Times New Roman"/>
                <w:i/>
                <w:iCs/>
                <w:color w:val="000000"/>
                <w:sz w:val="24"/>
                <w:szCs w:val="24"/>
                <w:lang w:eastAsia="da-DK"/>
              </w:rPr>
              <w:t>Eusko</w:t>
            </w:r>
            <w:proofErr w:type="spellEnd"/>
            <w:r w:rsidRPr="00032874">
              <w:rPr>
                <w:rFonts w:ascii="Times New Roman" w:eastAsia="Times New Roman" w:hAnsi="Times New Roman" w:cs="Times New Roman"/>
                <w:i/>
                <w:iCs/>
                <w:color w:val="000000"/>
                <w:sz w:val="24"/>
                <w:szCs w:val="24"/>
                <w:lang w:eastAsia="da-DK"/>
              </w:rPr>
              <w:t xml:space="preserve"> </w:t>
            </w:r>
            <w:proofErr w:type="spellStart"/>
            <w:r w:rsidRPr="00032874">
              <w:rPr>
                <w:rFonts w:ascii="Times New Roman" w:eastAsia="Times New Roman" w:hAnsi="Times New Roman" w:cs="Times New Roman"/>
                <w:i/>
                <w:iCs/>
                <w:color w:val="000000"/>
                <w:sz w:val="24"/>
                <w:szCs w:val="24"/>
                <w:lang w:eastAsia="da-DK"/>
              </w:rPr>
              <w:t>Abertzale</w:t>
            </w:r>
            <w:proofErr w:type="spellEnd"/>
            <w:r w:rsidRPr="00032874">
              <w:rPr>
                <w:rFonts w:ascii="Times New Roman" w:eastAsia="Times New Roman" w:hAnsi="Times New Roman" w:cs="Times New Roman"/>
                <w:i/>
                <w:iCs/>
                <w:color w:val="000000"/>
                <w:sz w:val="24"/>
                <w:szCs w:val="24"/>
                <w:lang w:eastAsia="da-DK"/>
              </w:rPr>
              <w:t xml:space="preserve"> </w:t>
            </w:r>
            <w:proofErr w:type="spellStart"/>
            <w:r w:rsidRPr="00032874">
              <w:rPr>
                <w:rFonts w:ascii="Times New Roman" w:eastAsia="Times New Roman" w:hAnsi="Times New Roman" w:cs="Times New Roman"/>
                <w:i/>
                <w:iCs/>
                <w:color w:val="000000"/>
                <w:sz w:val="24"/>
                <w:szCs w:val="24"/>
                <w:lang w:eastAsia="da-DK"/>
              </w:rPr>
              <w:t>Ekintza</w:t>
            </w:r>
            <w:proofErr w:type="spellEnd"/>
            <w:r w:rsidRPr="004A6EB9">
              <w:rPr>
                <w:rFonts w:ascii="Times New Roman" w:eastAsia="Times New Roman" w:hAnsi="Times New Roman" w:cs="Times New Roman"/>
                <w:i/>
                <w:iCs/>
                <w:color w:val="000000"/>
                <w:sz w:val="24"/>
                <w:szCs w:val="24"/>
                <w:lang w:eastAsia="da-DK"/>
              </w:rPr>
              <w:t xml:space="preserve"> (2007)</w:t>
            </w:r>
          </w:p>
        </w:tc>
      </w:tr>
      <w:tr w:rsidR="008C492D" w:rsidRPr="002F77FB" w:rsidTr="00895231">
        <w:trPr>
          <w:trHeight w:val="285"/>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i/>
                <w:iCs/>
                <w:color w:val="000000"/>
                <w:sz w:val="24"/>
                <w:szCs w:val="24"/>
                <w:lang w:val="en-US" w:eastAsia="da-DK"/>
              </w:rPr>
            </w:pPr>
            <w:r w:rsidRPr="00032874">
              <w:rPr>
                <w:rFonts w:ascii="Times New Roman" w:eastAsia="Times New Roman" w:hAnsi="Times New Roman" w:cs="Times New Roman"/>
                <w:i/>
                <w:iCs/>
                <w:color w:val="000000"/>
                <w:sz w:val="24"/>
                <w:szCs w:val="24"/>
                <w:lang w:val="en-US" w:eastAsia="da-DK"/>
              </w:rPr>
              <w:t>Communist Party of the Basque Territories</w:t>
            </w:r>
            <w:r w:rsidRPr="004A6EB9">
              <w:rPr>
                <w:rFonts w:ascii="Times New Roman" w:eastAsia="Times New Roman" w:hAnsi="Times New Roman" w:cs="Times New Roman"/>
                <w:i/>
                <w:iCs/>
                <w:color w:val="000000"/>
                <w:sz w:val="24"/>
                <w:szCs w:val="24"/>
                <w:lang w:val="en-US" w:eastAsia="da-DK"/>
              </w:rPr>
              <w:t xml:space="preserve"> (2008)</w:t>
            </w:r>
          </w:p>
        </w:tc>
      </w:tr>
      <w:tr w:rsidR="008C492D" w:rsidRPr="00032874" w:rsidTr="00895231">
        <w:trPr>
          <w:trHeight w:val="285"/>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i/>
                <w:iCs/>
                <w:color w:val="000000"/>
                <w:sz w:val="24"/>
                <w:szCs w:val="24"/>
                <w:lang w:eastAsia="da-DK"/>
              </w:rPr>
            </w:pPr>
            <w:proofErr w:type="spellStart"/>
            <w:r w:rsidRPr="00032874">
              <w:rPr>
                <w:rFonts w:ascii="Times New Roman" w:eastAsia="Times New Roman" w:hAnsi="Times New Roman" w:cs="Times New Roman"/>
                <w:i/>
                <w:iCs/>
                <w:color w:val="000000"/>
                <w:sz w:val="24"/>
                <w:szCs w:val="24"/>
                <w:lang w:eastAsia="da-DK"/>
              </w:rPr>
              <w:t>Askatasuna</w:t>
            </w:r>
            <w:proofErr w:type="spellEnd"/>
            <w:r w:rsidRPr="004A6EB9">
              <w:rPr>
                <w:rFonts w:ascii="Times New Roman" w:eastAsia="Times New Roman" w:hAnsi="Times New Roman" w:cs="Times New Roman"/>
                <w:i/>
                <w:iCs/>
                <w:color w:val="000000"/>
                <w:sz w:val="24"/>
                <w:szCs w:val="24"/>
                <w:lang w:eastAsia="da-DK"/>
              </w:rPr>
              <w:t xml:space="preserve"> (2009)</w:t>
            </w:r>
          </w:p>
        </w:tc>
      </w:tr>
      <w:tr w:rsidR="008C492D" w:rsidRPr="00032874" w:rsidTr="00895231">
        <w:trPr>
          <w:trHeight w:val="285"/>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i/>
                <w:iCs/>
                <w:color w:val="000000"/>
                <w:sz w:val="24"/>
                <w:szCs w:val="24"/>
                <w:lang w:eastAsia="da-DK"/>
              </w:rPr>
            </w:pPr>
            <w:r w:rsidRPr="00032874">
              <w:rPr>
                <w:rFonts w:ascii="Times New Roman" w:eastAsia="Times New Roman" w:hAnsi="Times New Roman" w:cs="Times New Roman"/>
                <w:i/>
                <w:iCs/>
                <w:color w:val="000000"/>
                <w:sz w:val="24"/>
                <w:szCs w:val="24"/>
                <w:lang w:eastAsia="da-DK"/>
              </w:rPr>
              <w:t>*</w:t>
            </w:r>
            <w:proofErr w:type="spellStart"/>
            <w:r w:rsidRPr="00032874">
              <w:rPr>
                <w:rFonts w:ascii="Times New Roman" w:eastAsia="Times New Roman" w:hAnsi="Times New Roman" w:cs="Times New Roman"/>
                <w:i/>
                <w:iCs/>
                <w:color w:val="000000"/>
                <w:sz w:val="24"/>
                <w:szCs w:val="24"/>
                <w:lang w:eastAsia="da-DK"/>
              </w:rPr>
              <w:t>Sortu</w:t>
            </w:r>
            <w:proofErr w:type="spellEnd"/>
            <w:r w:rsidRPr="004A6EB9">
              <w:rPr>
                <w:rFonts w:ascii="Times New Roman" w:eastAsia="Times New Roman" w:hAnsi="Times New Roman" w:cs="Times New Roman"/>
                <w:i/>
                <w:iCs/>
                <w:color w:val="000000"/>
                <w:sz w:val="24"/>
                <w:szCs w:val="24"/>
                <w:lang w:eastAsia="da-DK"/>
              </w:rPr>
              <w:t xml:space="preserve"> (2011)</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UK </w:t>
            </w: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FC1083" w:rsidRDefault="008C492D" w:rsidP="00895231">
            <w:pPr>
              <w:spacing w:after="0" w:line="240" w:lineRule="auto"/>
              <w:rPr>
                <w:rFonts w:ascii="Times New Roman" w:eastAsia="Times New Roman" w:hAnsi="Times New Roman" w:cs="Times New Roman"/>
                <w:i/>
                <w:color w:val="000000"/>
                <w:sz w:val="24"/>
                <w:szCs w:val="24"/>
                <w:lang w:eastAsia="da-DK"/>
              </w:rPr>
            </w:pPr>
            <w:r w:rsidRPr="00FC1083">
              <w:rPr>
                <w:rFonts w:ascii="Times New Roman" w:eastAsia="Times New Roman" w:hAnsi="Times New Roman" w:cs="Times New Roman"/>
                <w:i/>
                <w:color w:val="000000"/>
                <w:sz w:val="24"/>
                <w:szCs w:val="24"/>
                <w:lang w:eastAsia="da-DK"/>
              </w:rPr>
              <w:t xml:space="preserve">Sinn </w:t>
            </w:r>
            <w:proofErr w:type="spellStart"/>
            <w:r w:rsidRPr="00FC1083">
              <w:rPr>
                <w:rFonts w:ascii="Times New Roman" w:eastAsia="Times New Roman" w:hAnsi="Times New Roman" w:cs="Times New Roman"/>
                <w:i/>
                <w:color w:val="000000"/>
                <w:sz w:val="24"/>
                <w:szCs w:val="24"/>
                <w:lang w:eastAsia="da-DK"/>
              </w:rPr>
              <w:t>Féin</w:t>
            </w:r>
            <w:proofErr w:type="spellEnd"/>
            <w:r w:rsidRPr="00FC1083">
              <w:rPr>
                <w:rFonts w:ascii="Times New Roman" w:eastAsia="Times New Roman" w:hAnsi="Times New Roman" w:cs="Times New Roman"/>
                <w:i/>
                <w:color w:val="000000"/>
                <w:sz w:val="24"/>
                <w:szCs w:val="24"/>
                <w:lang w:eastAsia="da-DK"/>
              </w:rPr>
              <w:t xml:space="preserve"> (1956)</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FC1083" w:rsidRDefault="008C492D" w:rsidP="00895231">
            <w:pPr>
              <w:spacing w:after="0" w:line="240" w:lineRule="auto"/>
              <w:rPr>
                <w:rFonts w:ascii="Times New Roman" w:eastAsia="Times New Roman" w:hAnsi="Times New Roman" w:cs="Times New Roman"/>
                <w:i/>
                <w:color w:val="000000"/>
                <w:sz w:val="24"/>
                <w:szCs w:val="24"/>
                <w:lang w:eastAsia="da-DK"/>
              </w:rPr>
            </w:pPr>
            <w:r w:rsidRPr="00FC1083">
              <w:rPr>
                <w:rFonts w:ascii="Times New Roman" w:eastAsia="Times New Roman" w:hAnsi="Times New Roman" w:cs="Times New Roman"/>
                <w:i/>
                <w:color w:val="000000"/>
                <w:sz w:val="24"/>
                <w:szCs w:val="24"/>
                <w:lang w:eastAsia="da-DK"/>
              </w:rPr>
              <w:t xml:space="preserve">Fianna </w:t>
            </w:r>
            <w:proofErr w:type="spellStart"/>
            <w:r w:rsidRPr="00FC1083">
              <w:rPr>
                <w:rFonts w:ascii="Times New Roman" w:eastAsia="Times New Roman" w:hAnsi="Times New Roman" w:cs="Times New Roman"/>
                <w:i/>
                <w:color w:val="000000"/>
                <w:sz w:val="24"/>
                <w:szCs w:val="24"/>
                <w:lang w:eastAsia="da-DK"/>
              </w:rPr>
              <w:t>Uladh</w:t>
            </w:r>
            <w:proofErr w:type="spellEnd"/>
            <w:r w:rsidRPr="00FC1083">
              <w:rPr>
                <w:rFonts w:ascii="Times New Roman" w:eastAsia="Times New Roman" w:hAnsi="Times New Roman" w:cs="Times New Roman"/>
                <w:i/>
                <w:color w:val="000000"/>
                <w:sz w:val="24"/>
                <w:szCs w:val="24"/>
                <w:lang w:eastAsia="da-DK"/>
              </w:rPr>
              <w:t xml:space="preserve"> (1956)</w:t>
            </w:r>
          </w:p>
        </w:tc>
      </w:tr>
      <w:tr w:rsidR="008C492D" w:rsidRPr="00032874"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032874"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032874">
              <w:rPr>
                <w:rFonts w:ascii="Times New Roman" w:eastAsia="Times New Roman" w:hAnsi="Times New Roman" w:cs="Times New Roman"/>
                <w:color w:val="000000"/>
                <w:sz w:val="24"/>
                <w:szCs w:val="24"/>
                <w:lang w:eastAsia="da-DK"/>
              </w:rPr>
              <w:t>Republican</w:t>
            </w:r>
            <w:proofErr w:type="spellEnd"/>
            <w:r w:rsidRPr="00032874">
              <w:rPr>
                <w:rFonts w:ascii="Times New Roman" w:eastAsia="Times New Roman" w:hAnsi="Times New Roman" w:cs="Times New Roman"/>
                <w:color w:val="000000"/>
                <w:sz w:val="24"/>
                <w:szCs w:val="24"/>
                <w:lang w:eastAsia="da-DK"/>
              </w:rPr>
              <w:t xml:space="preserve"> Clubs</w:t>
            </w:r>
            <w:r w:rsidRPr="004A6EB9">
              <w:rPr>
                <w:rFonts w:ascii="Times New Roman" w:eastAsia="Times New Roman" w:hAnsi="Times New Roman" w:cs="Times New Roman"/>
                <w:color w:val="000000"/>
                <w:sz w:val="24"/>
                <w:szCs w:val="24"/>
                <w:lang w:eastAsia="da-DK"/>
              </w:rPr>
              <w:t xml:space="preserve"> (1967)</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E65B2A">
              <w:rPr>
                <w:rFonts w:ascii="Times New Roman" w:eastAsia="Times New Roman" w:hAnsi="Times New Roman" w:cs="Times New Roman"/>
                <w:color w:val="000000"/>
                <w:sz w:val="24"/>
                <w:szCs w:val="24"/>
                <w:lang w:eastAsia="da-DK"/>
              </w:rPr>
              <w:t>Turkey</w:t>
            </w:r>
            <w:proofErr w:type="spellEnd"/>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E65B2A">
              <w:rPr>
                <w:rFonts w:ascii="Times New Roman" w:eastAsia="Times New Roman" w:hAnsi="Times New Roman" w:cs="Times New Roman"/>
                <w:color w:val="000000"/>
                <w:sz w:val="24"/>
                <w:szCs w:val="24"/>
                <w:lang w:eastAsia="da-DK"/>
              </w:rPr>
              <w:t>Turkey</w:t>
            </w:r>
            <w:proofErr w:type="spellEnd"/>
            <w:r w:rsidRPr="00E65B2A">
              <w:rPr>
                <w:rFonts w:ascii="Times New Roman" w:eastAsia="Times New Roman" w:hAnsi="Times New Roman" w:cs="Times New Roman"/>
                <w:color w:val="000000"/>
                <w:sz w:val="24"/>
                <w:szCs w:val="24"/>
                <w:lang w:eastAsia="da-DK"/>
              </w:rPr>
              <w:t xml:space="preserve"> </w:t>
            </w:r>
            <w:proofErr w:type="spellStart"/>
            <w:r w:rsidRPr="00E65B2A">
              <w:rPr>
                <w:rFonts w:ascii="Times New Roman" w:eastAsia="Times New Roman" w:hAnsi="Times New Roman" w:cs="Times New Roman"/>
                <w:color w:val="000000"/>
                <w:sz w:val="24"/>
                <w:szCs w:val="24"/>
                <w:lang w:eastAsia="da-DK"/>
              </w:rPr>
              <w:t>Comfort</w:t>
            </w:r>
            <w:proofErr w:type="spellEnd"/>
            <w:r w:rsidRPr="00E65B2A">
              <w:rPr>
                <w:rFonts w:ascii="Times New Roman" w:eastAsia="Times New Roman" w:hAnsi="Times New Roman" w:cs="Times New Roman"/>
                <w:color w:val="000000"/>
                <w:sz w:val="24"/>
                <w:szCs w:val="24"/>
                <w:lang w:eastAsia="da-DK"/>
              </w:rPr>
              <w:t xml:space="preserve"> Party (THP) (1983)</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r w:rsidRPr="00E65B2A">
              <w:rPr>
                <w:rFonts w:ascii="Times New Roman" w:eastAsia="Times New Roman" w:hAnsi="Times New Roman" w:cs="Times New Roman"/>
                <w:color w:val="000000"/>
                <w:sz w:val="24"/>
                <w:szCs w:val="24"/>
                <w:lang w:val="en-US" w:eastAsia="da-DK"/>
              </w:rPr>
              <w:t>United Communist Party of Turkey (TBKP) (1991)</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r w:rsidRPr="00E65B2A">
              <w:rPr>
                <w:rFonts w:ascii="Times New Roman" w:eastAsia="Times New Roman" w:hAnsi="Times New Roman" w:cs="Times New Roman"/>
                <w:color w:val="000000"/>
                <w:sz w:val="24"/>
                <w:szCs w:val="24"/>
                <w:lang w:eastAsia="da-DK"/>
              </w:rPr>
              <w:t>People Party (HP) (1991)</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r w:rsidRPr="00E65B2A">
              <w:rPr>
                <w:rFonts w:ascii="Times New Roman" w:eastAsia="Times New Roman" w:hAnsi="Times New Roman" w:cs="Times New Roman"/>
                <w:color w:val="000000"/>
                <w:sz w:val="24"/>
                <w:szCs w:val="24"/>
                <w:lang w:eastAsia="da-DK"/>
              </w:rPr>
              <w:t>Socialist Party (SP) (1992)</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r w:rsidRPr="00E65B2A">
              <w:rPr>
                <w:rFonts w:ascii="Times New Roman" w:eastAsia="Times New Roman" w:hAnsi="Times New Roman" w:cs="Times New Roman"/>
                <w:color w:val="000000"/>
                <w:sz w:val="24"/>
                <w:szCs w:val="24"/>
                <w:lang w:val="en-US" w:eastAsia="da-DK"/>
              </w:rPr>
              <w:t xml:space="preserve">People´s </w:t>
            </w:r>
            <w:proofErr w:type="spellStart"/>
            <w:r w:rsidRPr="00E65B2A">
              <w:rPr>
                <w:rFonts w:ascii="Times New Roman" w:eastAsia="Times New Roman" w:hAnsi="Times New Roman" w:cs="Times New Roman"/>
                <w:color w:val="000000"/>
                <w:sz w:val="24"/>
                <w:szCs w:val="24"/>
                <w:lang w:val="en-US" w:eastAsia="da-DK"/>
              </w:rPr>
              <w:t>Labour</w:t>
            </w:r>
            <w:proofErr w:type="spellEnd"/>
            <w:r w:rsidRPr="00E65B2A">
              <w:rPr>
                <w:rFonts w:ascii="Times New Roman" w:eastAsia="Times New Roman" w:hAnsi="Times New Roman" w:cs="Times New Roman"/>
                <w:color w:val="000000"/>
                <w:sz w:val="24"/>
                <w:szCs w:val="24"/>
                <w:lang w:val="en-US" w:eastAsia="da-DK"/>
              </w:rPr>
              <w:t xml:space="preserve"> Party (HEP) (1993)</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r w:rsidRPr="00E65B2A">
              <w:rPr>
                <w:rFonts w:ascii="Times New Roman" w:eastAsia="Times New Roman" w:hAnsi="Times New Roman" w:cs="Times New Roman"/>
                <w:color w:val="000000"/>
                <w:sz w:val="24"/>
                <w:szCs w:val="24"/>
                <w:lang w:val="en-US" w:eastAsia="da-DK"/>
              </w:rPr>
              <w:t>Freedom and Democracy Party (ÖZDEP) (1993)</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r w:rsidRPr="00E65B2A">
              <w:rPr>
                <w:rFonts w:ascii="Times New Roman" w:eastAsia="Times New Roman" w:hAnsi="Times New Roman" w:cs="Times New Roman"/>
                <w:color w:val="000000"/>
                <w:sz w:val="24"/>
                <w:szCs w:val="24"/>
                <w:lang w:eastAsia="da-DK"/>
              </w:rPr>
              <w:t xml:space="preserve">Socialist </w:t>
            </w:r>
            <w:proofErr w:type="spellStart"/>
            <w:r w:rsidRPr="00E65B2A">
              <w:rPr>
                <w:rFonts w:ascii="Times New Roman" w:eastAsia="Times New Roman" w:hAnsi="Times New Roman" w:cs="Times New Roman"/>
                <w:color w:val="000000"/>
                <w:sz w:val="24"/>
                <w:szCs w:val="24"/>
                <w:lang w:eastAsia="da-DK"/>
              </w:rPr>
              <w:t>Turkey</w:t>
            </w:r>
            <w:proofErr w:type="spellEnd"/>
            <w:r w:rsidRPr="00E65B2A">
              <w:rPr>
                <w:rFonts w:ascii="Times New Roman" w:eastAsia="Times New Roman" w:hAnsi="Times New Roman" w:cs="Times New Roman"/>
                <w:color w:val="000000"/>
                <w:sz w:val="24"/>
                <w:szCs w:val="24"/>
                <w:lang w:eastAsia="da-DK"/>
              </w:rPr>
              <w:t xml:space="preserve"> Party (STP) (1993)</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E65B2A">
              <w:rPr>
                <w:rFonts w:ascii="Times New Roman" w:eastAsia="Times New Roman" w:hAnsi="Times New Roman" w:cs="Times New Roman"/>
                <w:color w:val="000000"/>
                <w:sz w:val="24"/>
                <w:szCs w:val="24"/>
                <w:lang w:eastAsia="da-DK"/>
              </w:rPr>
              <w:t>Democratic</w:t>
            </w:r>
            <w:proofErr w:type="spellEnd"/>
            <w:r w:rsidRPr="00E65B2A">
              <w:rPr>
                <w:rFonts w:ascii="Times New Roman" w:eastAsia="Times New Roman" w:hAnsi="Times New Roman" w:cs="Times New Roman"/>
                <w:color w:val="000000"/>
                <w:sz w:val="24"/>
                <w:szCs w:val="24"/>
                <w:lang w:eastAsia="da-DK"/>
              </w:rPr>
              <w:t xml:space="preserve"> Party (DEP) (1994)</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E65B2A">
              <w:rPr>
                <w:rFonts w:ascii="Times New Roman" w:eastAsia="Times New Roman" w:hAnsi="Times New Roman" w:cs="Times New Roman"/>
                <w:color w:val="000000"/>
                <w:sz w:val="24"/>
                <w:szCs w:val="24"/>
                <w:lang w:eastAsia="da-DK"/>
              </w:rPr>
              <w:t>Democrat</w:t>
            </w:r>
            <w:proofErr w:type="spellEnd"/>
            <w:r w:rsidRPr="00E65B2A">
              <w:rPr>
                <w:rFonts w:ascii="Times New Roman" w:eastAsia="Times New Roman" w:hAnsi="Times New Roman" w:cs="Times New Roman"/>
                <w:color w:val="000000"/>
                <w:sz w:val="24"/>
                <w:szCs w:val="24"/>
                <w:lang w:eastAsia="da-DK"/>
              </w:rPr>
              <w:t xml:space="preserve"> Party (DP) (1994)</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r w:rsidRPr="00E65B2A">
              <w:rPr>
                <w:rFonts w:ascii="Times New Roman" w:eastAsia="Times New Roman" w:hAnsi="Times New Roman" w:cs="Times New Roman"/>
                <w:color w:val="000000"/>
                <w:sz w:val="24"/>
                <w:szCs w:val="24"/>
                <w:lang w:eastAsia="da-DK"/>
              </w:rPr>
              <w:t>Socialist Union Party (DBP) (1995)</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r w:rsidRPr="00E65B2A">
              <w:rPr>
                <w:rFonts w:ascii="Times New Roman" w:eastAsia="Times New Roman" w:hAnsi="Times New Roman" w:cs="Times New Roman"/>
                <w:color w:val="000000"/>
                <w:sz w:val="24"/>
                <w:szCs w:val="24"/>
                <w:lang w:val="en-US" w:eastAsia="da-DK"/>
              </w:rPr>
              <w:t>Democracy and Change Party (DDP) (1996)</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r w:rsidRPr="00E65B2A">
              <w:rPr>
                <w:rFonts w:ascii="Times New Roman" w:eastAsia="Times New Roman" w:hAnsi="Times New Roman" w:cs="Times New Roman"/>
                <w:color w:val="000000"/>
                <w:sz w:val="24"/>
                <w:szCs w:val="24"/>
                <w:lang w:eastAsia="da-DK"/>
              </w:rPr>
              <w:t>Labour Party (EP) (1997)</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r w:rsidRPr="00E65B2A">
              <w:rPr>
                <w:rFonts w:ascii="Times New Roman" w:eastAsia="Times New Roman" w:hAnsi="Times New Roman" w:cs="Times New Roman"/>
                <w:color w:val="000000"/>
                <w:sz w:val="24"/>
                <w:szCs w:val="24"/>
                <w:lang w:eastAsia="da-DK"/>
              </w:rPr>
              <w:t>Revival Party (DIR-P) (1997)</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E65B2A">
              <w:rPr>
                <w:rFonts w:ascii="Times New Roman" w:eastAsia="Times New Roman" w:hAnsi="Times New Roman" w:cs="Times New Roman"/>
                <w:color w:val="000000"/>
                <w:sz w:val="24"/>
                <w:szCs w:val="24"/>
                <w:lang w:eastAsia="da-DK"/>
              </w:rPr>
              <w:t>Welfare</w:t>
            </w:r>
            <w:proofErr w:type="spellEnd"/>
            <w:r w:rsidRPr="00E65B2A">
              <w:rPr>
                <w:rFonts w:ascii="Times New Roman" w:eastAsia="Times New Roman" w:hAnsi="Times New Roman" w:cs="Times New Roman"/>
                <w:color w:val="000000"/>
                <w:sz w:val="24"/>
                <w:szCs w:val="24"/>
                <w:lang w:eastAsia="da-DK"/>
              </w:rPr>
              <w:t xml:space="preserve"> Party (RP) (1998)</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E65B2A">
              <w:rPr>
                <w:rFonts w:ascii="Times New Roman" w:eastAsia="Times New Roman" w:hAnsi="Times New Roman" w:cs="Times New Roman"/>
                <w:color w:val="000000"/>
                <w:sz w:val="24"/>
                <w:szCs w:val="24"/>
                <w:lang w:eastAsia="da-DK"/>
              </w:rPr>
              <w:t>Democratic</w:t>
            </w:r>
            <w:proofErr w:type="spellEnd"/>
            <w:r w:rsidRPr="00E65B2A">
              <w:rPr>
                <w:rFonts w:ascii="Times New Roman" w:eastAsia="Times New Roman" w:hAnsi="Times New Roman" w:cs="Times New Roman"/>
                <w:color w:val="000000"/>
                <w:sz w:val="24"/>
                <w:szCs w:val="24"/>
                <w:lang w:eastAsia="da-DK"/>
              </w:rPr>
              <w:t xml:space="preserve"> Mass Party (DKP) (1999)</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E65B2A">
              <w:rPr>
                <w:rFonts w:ascii="Times New Roman" w:eastAsia="Times New Roman" w:hAnsi="Times New Roman" w:cs="Times New Roman"/>
                <w:color w:val="000000"/>
                <w:sz w:val="24"/>
                <w:szCs w:val="24"/>
                <w:lang w:eastAsia="da-DK"/>
              </w:rPr>
              <w:t>Virtue</w:t>
            </w:r>
            <w:proofErr w:type="spellEnd"/>
            <w:r w:rsidRPr="00E65B2A">
              <w:rPr>
                <w:rFonts w:ascii="Times New Roman" w:eastAsia="Times New Roman" w:hAnsi="Times New Roman" w:cs="Times New Roman"/>
                <w:color w:val="000000"/>
                <w:sz w:val="24"/>
                <w:szCs w:val="24"/>
                <w:lang w:eastAsia="da-DK"/>
              </w:rPr>
              <w:t xml:space="preserve"> Party (FP) (2001)</w:t>
            </w:r>
          </w:p>
        </w:tc>
      </w:tr>
      <w:tr w:rsidR="008C492D" w:rsidRPr="002F77FB"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r w:rsidRPr="00E65B2A">
              <w:rPr>
                <w:rFonts w:ascii="Times New Roman" w:eastAsia="Times New Roman" w:hAnsi="Times New Roman" w:cs="Times New Roman"/>
                <w:color w:val="000000"/>
                <w:sz w:val="24"/>
                <w:szCs w:val="24"/>
                <w:lang w:val="en-US" w:eastAsia="da-DK"/>
              </w:rPr>
              <w:t>People´s Democracy Party (HADEP) (2003)</w:t>
            </w:r>
          </w:p>
        </w:tc>
      </w:tr>
      <w:tr w:rsidR="008C492D" w:rsidRPr="00E65B2A" w:rsidTr="00895231">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val="en-US" w:eastAsia="da-DK"/>
              </w:rPr>
            </w:pPr>
          </w:p>
        </w:tc>
        <w:tc>
          <w:tcPr>
            <w:tcW w:w="7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92D" w:rsidRPr="00E65B2A" w:rsidRDefault="008C492D" w:rsidP="00895231">
            <w:pPr>
              <w:spacing w:after="0" w:line="240" w:lineRule="auto"/>
              <w:rPr>
                <w:rFonts w:ascii="Times New Roman" w:eastAsia="Times New Roman" w:hAnsi="Times New Roman" w:cs="Times New Roman"/>
                <w:color w:val="000000"/>
                <w:sz w:val="24"/>
                <w:szCs w:val="24"/>
                <w:lang w:eastAsia="da-DK"/>
              </w:rPr>
            </w:pPr>
            <w:proofErr w:type="spellStart"/>
            <w:r w:rsidRPr="00E65B2A">
              <w:rPr>
                <w:rFonts w:ascii="Times New Roman" w:eastAsia="Times New Roman" w:hAnsi="Times New Roman" w:cs="Times New Roman"/>
                <w:color w:val="000000"/>
                <w:sz w:val="24"/>
                <w:szCs w:val="24"/>
                <w:lang w:eastAsia="da-DK"/>
              </w:rPr>
              <w:t>Democratic</w:t>
            </w:r>
            <w:proofErr w:type="spellEnd"/>
            <w:r w:rsidRPr="00E65B2A">
              <w:rPr>
                <w:rFonts w:ascii="Times New Roman" w:eastAsia="Times New Roman" w:hAnsi="Times New Roman" w:cs="Times New Roman"/>
                <w:color w:val="000000"/>
                <w:sz w:val="24"/>
                <w:szCs w:val="24"/>
                <w:lang w:eastAsia="da-DK"/>
              </w:rPr>
              <w:t xml:space="preserve"> Society Party (DTP) (2009)</w:t>
            </w:r>
          </w:p>
        </w:tc>
      </w:tr>
      <w:tr w:rsidR="008C492D" w:rsidRPr="00F44E79" w:rsidTr="00895231">
        <w:trPr>
          <w:trHeight w:val="288"/>
        </w:trPr>
        <w:tc>
          <w:tcPr>
            <w:tcW w:w="1756" w:type="dxa"/>
            <w:tcBorders>
              <w:top w:val="single" w:sz="4" w:space="0" w:color="auto"/>
              <w:left w:val="nil"/>
              <w:bottom w:val="nil"/>
              <w:right w:val="nil"/>
            </w:tcBorders>
            <w:shd w:val="clear" w:color="auto" w:fill="auto"/>
            <w:noWrap/>
            <w:vAlign w:val="bottom"/>
          </w:tcPr>
          <w:p w:rsidR="008C492D" w:rsidRPr="00F44E79" w:rsidRDefault="008C492D" w:rsidP="00895231">
            <w:pPr>
              <w:spacing w:after="0" w:line="240" w:lineRule="auto"/>
              <w:rPr>
                <w:rFonts w:ascii="Times New Roman" w:eastAsia="Times New Roman" w:hAnsi="Times New Roman" w:cs="Times New Roman"/>
                <w:color w:val="000000"/>
                <w:sz w:val="20"/>
                <w:szCs w:val="20"/>
                <w:lang w:eastAsia="da-DK"/>
              </w:rPr>
            </w:pPr>
          </w:p>
        </w:tc>
        <w:tc>
          <w:tcPr>
            <w:tcW w:w="7316" w:type="dxa"/>
            <w:tcBorders>
              <w:top w:val="single" w:sz="4" w:space="0" w:color="auto"/>
              <w:left w:val="nil"/>
              <w:bottom w:val="nil"/>
              <w:right w:val="nil"/>
            </w:tcBorders>
            <w:shd w:val="clear" w:color="auto" w:fill="auto"/>
            <w:noWrap/>
            <w:vAlign w:val="bottom"/>
          </w:tcPr>
          <w:p w:rsidR="008C492D" w:rsidRPr="00F44E79" w:rsidRDefault="008C492D" w:rsidP="00895231">
            <w:pPr>
              <w:spacing w:after="0" w:line="240" w:lineRule="auto"/>
              <w:jc w:val="center"/>
              <w:rPr>
                <w:rFonts w:ascii="Times New Roman" w:eastAsia="Times New Roman" w:hAnsi="Times New Roman" w:cs="Times New Roman"/>
                <w:color w:val="000000"/>
                <w:sz w:val="20"/>
                <w:szCs w:val="20"/>
                <w:lang w:eastAsia="da-DK"/>
              </w:rPr>
            </w:pPr>
          </w:p>
        </w:tc>
      </w:tr>
    </w:tbl>
    <w:p w:rsidR="008C492D" w:rsidRPr="00F44E79" w:rsidRDefault="008C492D" w:rsidP="008C492D">
      <w:pPr>
        <w:spacing w:line="360" w:lineRule="auto"/>
        <w:rPr>
          <w:rFonts w:ascii="Times New Roman" w:hAnsi="Times New Roman" w:cs="Times New Roman"/>
          <w:b/>
          <w:sz w:val="20"/>
          <w:szCs w:val="20"/>
          <w:lang w:val="en-US"/>
        </w:rPr>
      </w:pPr>
      <w:r w:rsidRPr="00883DB3">
        <w:rPr>
          <w:rFonts w:ascii="Times New Roman" w:eastAsia="Times New Roman" w:hAnsi="Times New Roman" w:cs="Times New Roman"/>
          <w:color w:val="000000"/>
          <w:sz w:val="20"/>
          <w:szCs w:val="20"/>
          <w:lang w:val="en-US" w:eastAsia="da-DK"/>
        </w:rPr>
        <w:t xml:space="preserve">Note:  Parties marked with * were denied registration rather than dissolved. 2. We could not find data on </w:t>
      </w:r>
      <w:r w:rsidR="00883DB3">
        <w:rPr>
          <w:rFonts w:ascii="Times New Roman" w:eastAsia="Times New Roman" w:hAnsi="Times New Roman" w:cs="Times New Roman"/>
          <w:color w:val="000000"/>
          <w:sz w:val="20"/>
          <w:szCs w:val="20"/>
          <w:lang w:val="en-US" w:eastAsia="da-DK"/>
        </w:rPr>
        <w:t xml:space="preserve">Romania, </w:t>
      </w:r>
      <w:r w:rsidRPr="00883DB3">
        <w:rPr>
          <w:rFonts w:ascii="Times New Roman" w:eastAsia="Times New Roman" w:hAnsi="Times New Roman" w:cs="Times New Roman"/>
          <w:color w:val="000000"/>
          <w:sz w:val="20"/>
          <w:szCs w:val="20"/>
          <w:lang w:val="en-US" w:eastAsia="da-DK"/>
        </w:rPr>
        <w:t xml:space="preserve">Iceland, Montenegro, Bosnia and Herzegovina, Switzerland and Norway </w:t>
      </w:r>
    </w:p>
    <w:p w:rsidR="008C492D" w:rsidRPr="001D0D0E" w:rsidRDefault="008C492D" w:rsidP="008C492D">
      <w:pPr>
        <w:spacing w:line="360" w:lineRule="auto"/>
        <w:jc w:val="both"/>
        <w:rPr>
          <w:rFonts w:ascii="Times New Roman" w:hAnsi="Times New Roman" w:cs="Times New Roman"/>
          <w:sz w:val="24"/>
          <w:szCs w:val="24"/>
          <w:lang w:val="en-US"/>
        </w:rPr>
      </w:pPr>
      <w:r w:rsidRPr="001D0D0E">
        <w:rPr>
          <w:rFonts w:ascii="Times New Roman" w:hAnsi="Times New Roman" w:cs="Times New Roman"/>
          <w:sz w:val="24"/>
          <w:szCs w:val="24"/>
          <w:lang w:val="en-US"/>
        </w:rPr>
        <w:t xml:space="preserve">The table suggests that the majority of European states have banned a party at </w:t>
      </w:r>
      <w:r>
        <w:rPr>
          <w:rFonts w:ascii="Times New Roman" w:hAnsi="Times New Roman" w:cs="Times New Roman"/>
          <w:sz w:val="24"/>
          <w:szCs w:val="24"/>
          <w:lang w:val="en-US"/>
        </w:rPr>
        <w:t>some time since the end of the Second World W</w:t>
      </w:r>
      <w:r w:rsidRPr="001D0D0E">
        <w:rPr>
          <w:rFonts w:ascii="Times New Roman" w:hAnsi="Times New Roman" w:cs="Times New Roman"/>
          <w:sz w:val="24"/>
          <w:szCs w:val="24"/>
          <w:lang w:val="en-US"/>
        </w:rPr>
        <w:t>ar</w:t>
      </w:r>
      <w:r>
        <w:rPr>
          <w:rFonts w:ascii="Times New Roman" w:hAnsi="Times New Roman" w:cs="Times New Roman"/>
          <w:sz w:val="24"/>
          <w:szCs w:val="24"/>
          <w:lang w:val="en-US"/>
        </w:rPr>
        <w:t xml:space="preserve"> (WWII)</w:t>
      </w:r>
      <w:r w:rsidRPr="001D0D0E">
        <w:rPr>
          <w:rFonts w:ascii="Times New Roman" w:hAnsi="Times New Roman" w:cs="Times New Roman"/>
          <w:sz w:val="24"/>
          <w:szCs w:val="24"/>
          <w:lang w:val="en-US"/>
        </w:rPr>
        <w:t xml:space="preserve">. </w:t>
      </w:r>
      <w:r>
        <w:rPr>
          <w:rFonts w:ascii="Times New Roman" w:hAnsi="Times New Roman" w:cs="Times New Roman"/>
          <w:sz w:val="24"/>
          <w:szCs w:val="24"/>
          <w:lang w:val="en-US"/>
        </w:rPr>
        <w:t>Cyprus,</w:t>
      </w:r>
      <w:r w:rsidRPr="001D0D0E">
        <w:rPr>
          <w:rFonts w:ascii="Times New Roman" w:hAnsi="Times New Roman" w:cs="Times New Roman"/>
          <w:sz w:val="24"/>
          <w:szCs w:val="24"/>
          <w:lang w:val="en-US"/>
        </w:rPr>
        <w:t xml:space="preserve"> Denmark, Estonia, Finland, </w:t>
      </w:r>
      <w:r>
        <w:rPr>
          <w:rFonts w:ascii="Times New Roman" w:hAnsi="Times New Roman" w:cs="Times New Roman"/>
          <w:sz w:val="24"/>
          <w:szCs w:val="24"/>
          <w:lang w:val="en-US"/>
        </w:rPr>
        <w:t xml:space="preserve">Hungary, </w:t>
      </w:r>
      <w:r w:rsidRPr="001D0D0E">
        <w:rPr>
          <w:rFonts w:ascii="Times New Roman" w:hAnsi="Times New Roman" w:cs="Times New Roman"/>
          <w:sz w:val="24"/>
          <w:szCs w:val="24"/>
          <w:lang w:val="en-US"/>
        </w:rPr>
        <w:t xml:space="preserve">Ireland, Malta, </w:t>
      </w:r>
      <w:r>
        <w:rPr>
          <w:rFonts w:ascii="Times New Roman" w:hAnsi="Times New Roman" w:cs="Times New Roman"/>
          <w:sz w:val="24"/>
          <w:szCs w:val="24"/>
          <w:lang w:val="en-US"/>
        </w:rPr>
        <w:t xml:space="preserve">Luxembourg, </w:t>
      </w:r>
      <w:r w:rsidRPr="001D0D0E">
        <w:rPr>
          <w:rFonts w:ascii="Times New Roman" w:hAnsi="Times New Roman" w:cs="Times New Roman"/>
          <w:sz w:val="24"/>
          <w:szCs w:val="24"/>
          <w:lang w:val="en-US"/>
        </w:rPr>
        <w:t>Portugal, Slovenia, Serbia, Sweden and Macedonia have not banned parties since</w:t>
      </w:r>
      <w:r>
        <w:rPr>
          <w:rFonts w:ascii="Times New Roman" w:hAnsi="Times New Roman" w:cs="Times New Roman"/>
          <w:sz w:val="24"/>
          <w:szCs w:val="24"/>
          <w:lang w:val="en-US"/>
        </w:rPr>
        <w:t xml:space="preserve"> the end of WWII</w:t>
      </w:r>
      <w:r w:rsidRPr="001D0D0E">
        <w:rPr>
          <w:rFonts w:ascii="Times New Roman" w:hAnsi="Times New Roman" w:cs="Times New Roman"/>
          <w:sz w:val="24"/>
          <w:szCs w:val="24"/>
          <w:lang w:val="en-US"/>
        </w:rPr>
        <w:t>. Parties may be banned in ‘new’, ‘incomplete’ and ‘established’ democracies (Bourne 2012</w:t>
      </w:r>
      <w:r>
        <w:rPr>
          <w:rFonts w:ascii="Times New Roman" w:hAnsi="Times New Roman" w:cs="Times New Roman"/>
          <w:sz w:val="24"/>
          <w:szCs w:val="24"/>
          <w:lang w:val="en-US"/>
        </w:rPr>
        <w:t>a</w:t>
      </w:r>
      <w:r w:rsidRPr="001D0D0E">
        <w:rPr>
          <w:rFonts w:ascii="Times New Roman" w:hAnsi="Times New Roman" w:cs="Times New Roman"/>
          <w:sz w:val="24"/>
          <w:szCs w:val="24"/>
          <w:lang w:val="en-US"/>
        </w:rPr>
        <w:t xml:space="preserve">). ‘New democracies’ are those at the transition stage of a process pursuing the transformation of an authoritarian regime into a fully consolidated democracy (Linz, 1990, 157). Political uncertainty, instability, </w:t>
      </w:r>
      <w:proofErr w:type="spellStart"/>
      <w:r w:rsidRPr="001D0D0E">
        <w:rPr>
          <w:rFonts w:ascii="Times New Roman" w:hAnsi="Times New Roman" w:cs="Times New Roman"/>
          <w:sz w:val="24"/>
          <w:szCs w:val="24"/>
          <w:lang w:val="en-US"/>
        </w:rPr>
        <w:t>polarisation</w:t>
      </w:r>
      <w:proofErr w:type="spellEnd"/>
      <w:r w:rsidRPr="001D0D0E">
        <w:rPr>
          <w:rFonts w:ascii="Times New Roman" w:hAnsi="Times New Roman" w:cs="Times New Roman"/>
          <w:sz w:val="24"/>
          <w:szCs w:val="24"/>
          <w:lang w:val="en-US"/>
        </w:rPr>
        <w:t xml:space="preserve"> and the distinctive challenges of transitional justice – or what Huntington calls the ‘torturer problem’ – provide fertile ground for the proscription of parties in new democracies (1991, 109-164; Linz, 1990). Examples of this type of party ban include proscription of fascist parties in Germany</w:t>
      </w:r>
      <w:r>
        <w:rPr>
          <w:rFonts w:ascii="Times New Roman" w:hAnsi="Times New Roman" w:cs="Times New Roman"/>
          <w:sz w:val="24"/>
          <w:szCs w:val="24"/>
          <w:lang w:val="en-US"/>
        </w:rPr>
        <w:t>, Austria and Italy in the 1940s and</w:t>
      </w:r>
      <w:r w:rsidRPr="001D0D0E">
        <w:rPr>
          <w:rFonts w:ascii="Times New Roman" w:hAnsi="Times New Roman" w:cs="Times New Roman"/>
          <w:sz w:val="24"/>
          <w:szCs w:val="24"/>
          <w:lang w:val="en-US"/>
        </w:rPr>
        <w:t xml:space="preserve"> orthodox communist parties in Latvia and Lithuania</w:t>
      </w:r>
      <w:r>
        <w:rPr>
          <w:rFonts w:ascii="Times New Roman" w:hAnsi="Times New Roman" w:cs="Times New Roman"/>
          <w:sz w:val="24"/>
          <w:szCs w:val="24"/>
          <w:lang w:val="en-US"/>
        </w:rPr>
        <w:t xml:space="preserve"> in the early 1990s</w:t>
      </w:r>
      <w:r w:rsidRPr="001D0D0E">
        <w:rPr>
          <w:rFonts w:ascii="Times New Roman" w:hAnsi="Times New Roman" w:cs="Times New Roman"/>
          <w:sz w:val="24"/>
          <w:szCs w:val="24"/>
          <w:lang w:val="en-US"/>
        </w:rPr>
        <w:t xml:space="preserve">. Incomplete democracies are those which set out on a process of democratic reform, </w:t>
      </w:r>
      <w:r>
        <w:rPr>
          <w:rFonts w:ascii="Times New Roman" w:hAnsi="Times New Roman" w:cs="Times New Roman"/>
          <w:sz w:val="24"/>
          <w:szCs w:val="24"/>
          <w:lang w:val="en-US"/>
        </w:rPr>
        <w:t xml:space="preserve">but only </w:t>
      </w:r>
      <w:r w:rsidRPr="001D0D0E">
        <w:rPr>
          <w:rFonts w:ascii="Times New Roman" w:hAnsi="Times New Roman" w:cs="Times New Roman"/>
          <w:sz w:val="24"/>
          <w:szCs w:val="24"/>
          <w:lang w:val="en-US"/>
        </w:rPr>
        <w:t>obtain some features of established or consolidated democracies. Major power holders are appointed through reasonably free and fair elections but democratic politics nevertheless remain ‘defective’ because of limited respect for constitutional liberalism; domains of power remain shielded from democratic competition; or the systematic exclusion of certain groups from the democratic process (Merkel and Croissant, 2000). Examples include proscription in Greece (until mid-1970s)</w:t>
      </w:r>
      <w:r>
        <w:rPr>
          <w:rFonts w:ascii="Times New Roman" w:hAnsi="Times New Roman" w:cs="Times New Roman"/>
          <w:sz w:val="24"/>
          <w:szCs w:val="24"/>
          <w:lang w:val="en-US"/>
        </w:rPr>
        <w:t xml:space="preserve"> and</w:t>
      </w:r>
      <w:r w:rsidRPr="001D0D0E">
        <w:rPr>
          <w:rFonts w:ascii="Times New Roman" w:hAnsi="Times New Roman" w:cs="Times New Roman"/>
          <w:sz w:val="24"/>
          <w:szCs w:val="24"/>
          <w:lang w:val="en-US"/>
        </w:rPr>
        <w:t xml:space="preserve"> Turkey</w:t>
      </w:r>
      <w:r>
        <w:rPr>
          <w:rFonts w:ascii="Times New Roman" w:hAnsi="Times New Roman" w:cs="Times New Roman"/>
          <w:sz w:val="24"/>
          <w:szCs w:val="24"/>
          <w:lang w:val="en-US"/>
        </w:rPr>
        <w:t>.</w:t>
      </w:r>
      <w:r w:rsidRPr="001D0D0E">
        <w:rPr>
          <w:rFonts w:ascii="Times New Roman" w:hAnsi="Times New Roman" w:cs="Times New Roman"/>
          <w:sz w:val="24"/>
          <w:szCs w:val="24"/>
          <w:lang w:val="en-US"/>
        </w:rPr>
        <w:t xml:space="preserve"> ‘Established democracy bans’ are those which take place many years, sometimes decades after the initiation of democratic reforms, and in states with consistently high ‘democratic quality’ quotients (Diamond and </w:t>
      </w:r>
      <w:proofErr w:type="spellStart"/>
      <w:r w:rsidRPr="001D0D0E">
        <w:rPr>
          <w:rFonts w:ascii="Times New Roman" w:hAnsi="Times New Roman" w:cs="Times New Roman"/>
          <w:sz w:val="24"/>
          <w:szCs w:val="24"/>
          <w:lang w:val="en-US"/>
        </w:rPr>
        <w:t>Morlino</w:t>
      </w:r>
      <w:proofErr w:type="spellEnd"/>
      <w:r w:rsidRPr="001D0D0E">
        <w:rPr>
          <w:rFonts w:ascii="Times New Roman" w:hAnsi="Times New Roman" w:cs="Times New Roman"/>
          <w:sz w:val="24"/>
          <w:szCs w:val="24"/>
          <w:lang w:val="en-US"/>
        </w:rPr>
        <w:t xml:space="preserve">, 2005). Established or ‘consolidated’ democracies are those where democracy becomes ‘the only game in town’ (Linz and </w:t>
      </w:r>
      <w:proofErr w:type="spellStart"/>
      <w:r w:rsidRPr="001D0D0E">
        <w:rPr>
          <w:rFonts w:ascii="Times New Roman" w:hAnsi="Times New Roman" w:cs="Times New Roman"/>
          <w:sz w:val="24"/>
          <w:szCs w:val="24"/>
          <w:lang w:val="en-US"/>
        </w:rPr>
        <w:t>Stepan</w:t>
      </w:r>
      <w:proofErr w:type="spellEnd"/>
      <w:r w:rsidRPr="001D0D0E">
        <w:rPr>
          <w:rFonts w:ascii="Times New Roman" w:hAnsi="Times New Roman" w:cs="Times New Roman"/>
          <w:sz w:val="24"/>
          <w:szCs w:val="24"/>
          <w:lang w:val="en-US"/>
        </w:rPr>
        <w:t xml:space="preserve">, 1996, 15-16). Examples of established democracy bans include proscription of the National Democratic Party (Austria), Centre Party 1986 (The Netherlands), </w:t>
      </w:r>
      <w:proofErr w:type="spellStart"/>
      <w:r w:rsidRPr="00EE6C66">
        <w:rPr>
          <w:rFonts w:ascii="Times New Roman" w:hAnsi="Times New Roman" w:cs="Times New Roman"/>
          <w:i/>
          <w:sz w:val="24"/>
          <w:szCs w:val="24"/>
          <w:lang w:val="en-US"/>
        </w:rPr>
        <w:t>Herri</w:t>
      </w:r>
      <w:proofErr w:type="spellEnd"/>
      <w:r>
        <w:rPr>
          <w:rFonts w:ascii="Times New Roman" w:hAnsi="Times New Roman" w:cs="Times New Roman"/>
          <w:sz w:val="24"/>
          <w:szCs w:val="24"/>
          <w:lang w:val="en-US"/>
        </w:rPr>
        <w:t xml:space="preserve"> </w:t>
      </w:r>
      <w:proofErr w:type="spellStart"/>
      <w:r w:rsidRPr="001D0D0E">
        <w:rPr>
          <w:rFonts w:ascii="Times New Roman" w:hAnsi="Times New Roman" w:cs="Times New Roman"/>
          <w:i/>
          <w:sz w:val="24"/>
          <w:szCs w:val="24"/>
          <w:lang w:val="en-US"/>
        </w:rPr>
        <w:t>Batasuna</w:t>
      </w:r>
      <w:proofErr w:type="spellEnd"/>
      <w:r w:rsidRPr="001D0D0E">
        <w:rPr>
          <w:rFonts w:ascii="Times New Roman" w:hAnsi="Times New Roman" w:cs="Times New Roman"/>
          <w:sz w:val="24"/>
          <w:szCs w:val="24"/>
          <w:lang w:val="en-US"/>
        </w:rPr>
        <w:t xml:space="preserve"> </w:t>
      </w:r>
      <w:r>
        <w:rPr>
          <w:rFonts w:ascii="Times New Roman" w:hAnsi="Times New Roman" w:cs="Times New Roman"/>
          <w:sz w:val="24"/>
          <w:szCs w:val="24"/>
          <w:lang w:val="en-US"/>
        </w:rPr>
        <w:t>and its successors (</w:t>
      </w:r>
      <w:r w:rsidRPr="001D0D0E">
        <w:rPr>
          <w:rFonts w:ascii="Times New Roman" w:hAnsi="Times New Roman" w:cs="Times New Roman"/>
          <w:sz w:val="24"/>
          <w:szCs w:val="24"/>
          <w:lang w:val="en-US"/>
        </w:rPr>
        <w:t xml:space="preserve">Spain). </w:t>
      </w:r>
    </w:p>
    <w:p w:rsidR="008C492D" w:rsidRPr="001D0D0E" w:rsidRDefault="008C492D" w:rsidP="008C492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almost all cases, banned parties represent orthodox communist, far right, ethnic minority or religious movements and are considered anti-system parties by those who ban them. </w:t>
      </w:r>
      <w:r w:rsidRPr="001D0D0E">
        <w:rPr>
          <w:rFonts w:ascii="Times New Roman" w:hAnsi="Times New Roman" w:cs="Times New Roman"/>
          <w:sz w:val="24"/>
          <w:szCs w:val="24"/>
          <w:lang w:val="en-US"/>
        </w:rPr>
        <w:t xml:space="preserve">These are parties which, according to </w:t>
      </w:r>
      <w:proofErr w:type="spellStart"/>
      <w:r w:rsidRPr="001D0D0E">
        <w:rPr>
          <w:rFonts w:ascii="Times New Roman" w:hAnsi="Times New Roman" w:cs="Times New Roman"/>
          <w:sz w:val="24"/>
          <w:szCs w:val="24"/>
          <w:lang w:val="en-US"/>
        </w:rPr>
        <w:t>Sartori</w:t>
      </w:r>
      <w:proofErr w:type="spellEnd"/>
      <w:r w:rsidRPr="001D0D0E">
        <w:rPr>
          <w:rFonts w:ascii="Times New Roman" w:hAnsi="Times New Roman" w:cs="Times New Roman"/>
          <w:sz w:val="24"/>
          <w:szCs w:val="24"/>
          <w:lang w:val="en-US"/>
        </w:rPr>
        <w:t xml:space="preserve">, ‘abide by a belief system that does not share the values of the </w:t>
      </w:r>
      <w:r w:rsidRPr="001D0D0E">
        <w:rPr>
          <w:rFonts w:ascii="Times New Roman" w:hAnsi="Times New Roman" w:cs="Times New Roman"/>
          <w:sz w:val="24"/>
          <w:szCs w:val="24"/>
          <w:lang w:val="en-US"/>
        </w:rPr>
        <w:lastRenderedPageBreak/>
        <w:t>political order in which it operates’, would change the system of government if it could and ‘undermines the legitimacy of the regime it opposes’ (</w:t>
      </w:r>
      <w:proofErr w:type="spellStart"/>
      <w:r w:rsidRPr="001D0D0E">
        <w:rPr>
          <w:rFonts w:ascii="Times New Roman" w:hAnsi="Times New Roman" w:cs="Times New Roman"/>
          <w:sz w:val="24"/>
          <w:szCs w:val="24"/>
          <w:lang w:val="en-US"/>
        </w:rPr>
        <w:t>Sartori</w:t>
      </w:r>
      <w:proofErr w:type="spellEnd"/>
      <w:r w:rsidRPr="001D0D0E">
        <w:rPr>
          <w:rFonts w:ascii="Times New Roman" w:hAnsi="Times New Roman" w:cs="Times New Roman"/>
          <w:sz w:val="24"/>
          <w:szCs w:val="24"/>
          <w:lang w:val="en-US"/>
        </w:rPr>
        <w:t xml:space="preserve">, 1976, 132-3). </w:t>
      </w:r>
      <w:r>
        <w:rPr>
          <w:rFonts w:ascii="Times New Roman" w:hAnsi="Times New Roman" w:cs="Times New Roman"/>
          <w:sz w:val="24"/>
          <w:szCs w:val="24"/>
          <w:lang w:val="en-US"/>
        </w:rPr>
        <w:t xml:space="preserve">Parties are usually banned </w:t>
      </w:r>
      <w:r w:rsidRPr="001D0D0E">
        <w:rPr>
          <w:rFonts w:ascii="Times New Roman" w:hAnsi="Times New Roman" w:cs="Times New Roman"/>
          <w:sz w:val="24"/>
          <w:szCs w:val="24"/>
          <w:lang w:val="en-US"/>
        </w:rPr>
        <w:t>for promoting authoritarian political forms and violent regime change, undermining democratic commitments to equality and pluralism, serving the interests of a foreign power, undermining the territorial integrity of the state, or some combination of these</w:t>
      </w:r>
      <w:r>
        <w:rPr>
          <w:rFonts w:ascii="Times New Roman" w:hAnsi="Times New Roman" w:cs="Times New Roman"/>
          <w:sz w:val="24"/>
          <w:szCs w:val="24"/>
          <w:lang w:val="en-US"/>
        </w:rPr>
        <w:t xml:space="preserve">. </w:t>
      </w:r>
      <w:r w:rsidRPr="001D0D0E">
        <w:rPr>
          <w:rFonts w:ascii="Times New Roman" w:hAnsi="Times New Roman" w:cs="Times New Roman"/>
          <w:sz w:val="24"/>
          <w:szCs w:val="24"/>
          <w:lang w:val="en-US"/>
        </w:rPr>
        <w:t xml:space="preserve">The banned parties vary considerably in size and salience. They include hegemonic, mass fascist and communist parties banned after the end of World War Two and the collapse of the Soviet Union. Others were only able to capture a very small percentage of the vote (if any) when banned. Between these extremes fall parties like </w:t>
      </w:r>
      <w:proofErr w:type="spellStart"/>
      <w:r w:rsidRPr="001D0D0E">
        <w:rPr>
          <w:rFonts w:ascii="Times New Roman" w:hAnsi="Times New Roman" w:cs="Times New Roman"/>
          <w:i/>
          <w:sz w:val="24"/>
          <w:szCs w:val="24"/>
          <w:lang w:val="en-US"/>
        </w:rPr>
        <w:t>Batasuna</w:t>
      </w:r>
      <w:proofErr w:type="spellEnd"/>
      <w:r w:rsidRPr="001D0D0E">
        <w:rPr>
          <w:rFonts w:ascii="Times New Roman" w:hAnsi="Times New Roman" w:cs="Times New Roman"/>
          <w:i/>
          <w:sz w:val="24"/>
          <w:szCs w:val="24"/>
          <w:lang w:val="en-US"/>
        </w:rPr>
        <w:t xml:space="preserve"> </w:t>
      </w:r>
      <w:r w:rsidRPr="001D0D0E">
        <w:rPr>
          <w:rFonts w:ascii="Times New Roman" w:hAnsi="Times New Roman" w:cs="Times New Roman"/>
          <w:sz w:val="24"/>
          <w:szCs w:val="24"/>
          <w:lang w:val="en-US"/>
        </w:rPr>
        <w:t xml:space="preserve">(Spain), which was able to capture as much as 18% in its best showing in Basque elections in 1990; the Welfare Party (Turkey), which was the largest party after 1996 elections (with 22% of the vote) and part of a coalition government for nearly a year; and </w:t>
      </w:r>
      <w:proofErr w:type="spellStart"/>
      <w:r>
        <w:rPr>
          <w:rFonts w:ascii="Times New Roman" w:hAnsi="Times New Roman" w:cs="Times New Roman"/>
          <w:sz w:val="24"/>
          <w:szCs w:val="24"/>
          <w:lang w:val="en-US"/>
        </w:rPr>
        <w:t>Vlaams</w:t>
      </w:r>
      <w:proofErr w:type="spellEnd"/>
      <w:r>
        <w:rPr>
          <w:rFonts w:ascii="Times New Roman" w:hAnsi="Times New Roman" w:cs="Times New Roman"/>
          <w:sz w:val="24"/>
          <w:szCs w:val="24"/>
          <w:lang w:val="en-US"/>
        </w:rPr>
        <w:t xml:space="preserve"> Blok, which won 24% of the vote in the year it was banned, placing it second only to the electoral alliance of </w:t>
      </w:r>
      <w:r w:rsidR="00467C9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Flemish Christian Democrat and New Flemish Alliance. </w:t>
      </w:r>
    </w:p>
    <w:p w:rsidR="00883DB3" w:rsidRDefault="008C492D" w:rsidP="00F44E7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significant variation in legal procedures and grounds for banning parties in Europe. Building on the critique that existing classifications (especially Fox and Nolte, 2000) of party bans generate inconsistent expectations about party ban outcomes, Bourne developed a classification of party bans along three dimensions: a) legal and constitutional principles; b) whether bans sanction ‘anti-system ideology’ or ‘anti-system activity’ and c) practice in relation to party bans (2012b)</w:t>
      </w:r>
      <w:r w:rsidR="00883DB3">
        <w:rPr>
          <w:rFonts w:ascii="Times New Roman" w:hAnsi="Times New Roman" w:cs="Times New Roman"/>
          <w:sz w:val="24"/>
          <w:szCs w:val="24"/>
          <w:lang w:val="en-US"/>
        </w:rPr>
        <w:t>.</w:t>
      </w:r>
      <w:r w:rsidRPr="00534CB7">
        <w:rPr>
          <w:rFonts w:ascii="Times New Roman" w:hAnsi="Times New Roman" w:cs="Times New Roman"/>
          <w:sz w:val="24"/>
          <w:szCs w:val="24"/>
          <w:lang w:val="en-US"/>
        </w:rPr>
        <w:t xml:space="preserve"> Figure </w:t>
      </w:r>
      <w:r>
        <w:rPr>
          <w:rFonts w:ascii="Times New Roman" w:hAnsi="Times New Roman" w:cs="Times New Roman"/>
          <w:sz w:val="24"/>
          <w:szCs w:val="24"/>
          <w:lang w:val="en-US"/>
        </w:rPr>
        <w:t>1</w:t>
      </w:r>
      <w:r w:rsidRPr="00534CB7">
        <w:rPr>
          <w:rFonts w:ascii="Times New Roman" w:hAnsi="Times New Roman" w:cs="Times New Roman"/>
          <w:sz w:val="24"/>
          <w:szCs w:val="24"/>
          <w:lang w:val="en-US"/>
        </w:rPr>
        <w:t xml:space="preserve"> </w:t>
      </w:r>
      <w:proofErr w:type="spellStart"/>
      <w:r w:rsidRPr="00534CB7">
        <w:rPr>
          <w:rFonts w:ascii="Times New Roman" w:hAnsi="Times New Roman" w:cs="Times New Roman"/>
          <w:sz w:val="24"/>
          <w:szCs w:val="24"/>
          <w:lang w:val="en-US"/>
        </w:rPr>
        <w:t>summarises</w:t>
      </w:r>
      <w:proofErr w:type="spellEnd"/>
      <w:r w:rsidRPr="00534CB7">
        <w:rPr>
          <w:rFonts w:ascii="Times New Roman" w:hAnsi="Times New Roman" w:cs="Times New Roman"/>
          <w:sz w:val="24"/>
          <w:szCs w:val="24"/>
          <w:lang w:val="en-US"/>
        </w:rPr>
        <w:t xml:space="preserve"> the model. </w:t>
      </w:r>
    </w:p>
    <w:p w:rsidR="008C492D" w:rsidRPr="00534CB7" w:rsidRDefault="00A2338B" w:rsidP="00A2338B">
      <w:pPr>
        <w:spacing w:line="360" w:lineRule="auto"/>
        <w:jc w:val="center"/>
        <w:rPr>
          <w:rFonts w:ascii="Times New Roman" w:hAnsi="Times New Roman" w:cs="Times New Roman"/>
          <w:b/>
          <w:sz w:val="24"/>
          <w:szCs w:val="24"/>
          <w:lang w:val="en-US"/>
        </w:rPr>
      </w:pPr>
      <w:r>
        <w:rPr>
          <w:noProof/>
          <w:lang w:eastAsia="da-DK"/>
        </w:rPr>
        <w:drawing>
          <wp:anchor distT="0" distB="0" distL="114300" distR="114300" simplePos="0" relativeHeight="251663360" behindDoc="1" locked="0" layoutInCell="1" allowOverlap="1" wp14:anchorId="62F50F7D" wp14:editId="6E60101D">
            <wp:simplePos x="0" y="0"/>
            <wp:positionH relativeFrom="column">
              <wp:posOffset>582930</wp:posOffset>
            </wp:positionH>
            <wp:positionV relativeFrom="paragraph">
              <wp:posOffset>329565</wp:posOffset>
            </wp:positionV>
            <wp:extent cx="4404360" cy="36112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4360" cy="361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92D" w:rsidRPr="00534CB7">
        <w:rPr>
          <w:rFonts w:ascii="Times New Roman" w:hAnsi="Times New Roman" w:cs="Times New Roman"/>
          <w:b/>
          <w:sz w:val="24"/>
          <w:szCs w:val="24"/>
          <w:lang w:val="en-US"/>
        </w:rPr>
        <w:t xml:space="preserve">Figure </w:t>
      </w:r>
      <w:r w:rsidR="008C492D">
        <w:rPr>
          <w:rFonts w:ascii="Times New Roman" w:hAnsi="Times New Roman" w:cs="Times New Roman"/>
          <w:b/>
          <w:sz w:val="24"/>
          <w:szCs w:val="24"/>
          <w:lang w:val="en-US"/>
        </w:rPr>
        <w:t>1</w:t>
      </w:r>
      <w:r w:rsidR="008C492D" w:rsidRPr="00534CB7">
        <w:rPr>
          <w:rFonts w:ascii="Times New Roman" w:hAnsi="Times New Roman" w:cs="Times New Roman"/>
          <w:b/>
          <w:sz w:val="24"/>
          <w:szCs w:val="24"/>
          <w:lang w:val="en-US"/>
        </w:rPr>
        <w:t>: Tolerant and Intolerant Democracies: A new typology</w:t>
      </w:r>
    </w:p>
    <w:p w:rsidR="00883DB3" w:rsidRDefault="00883DB3" w:rsidP="00883DB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C492D" w:rsidRPr="00ED7678" w:rsidRDefault="008C492D" w:rsidP="008C492D">
      <w:pPr>
        <w:spacing w:line="360" w:lineRule="auto"/>
        <w:rPr>
          <w:rFonts w:ascii="Times New Roman" w:hAnsi="Times New Roman" w:cs="Times New Roman"/>
          <w:sz w:val="24"/>
          <w:szCs w:val="24"/>
          <w:lang w:val="en-US"/>
        </w:rPr>
      </w:pPr>
      <w:r w:rsidRPr="00ED7678">
        <w:rPr>
          <w:rFonts w:ascii="Times New Roman" w:hAnsi="Times New Roman" w:cs="Times New Roman"/>
          <w:sz w:val="24"/>
          <w:szCs w:val="24"/>
          <w:lang w:val="en-US"/>
        </w:rPr>
        <w:lastRenderedPageBreak/>
        <w:t xml:space="preserve">The model retains Fox and Nolte’s (2000, 406) categories of ‘procedural democracy’ and ‘substantive democracy’ which represent conceptions of democracy that have concrete form in distinctive legal-constitutional arrangements. A ‘procedural model’ draws on Schumpeter’s conception of democracy as an institutional arrangement for choosing leaders and determining the political preferences of majorities. The views of all citizens are given equal consideration and the primacy of majority rule as a basis for legitimacy limits State authority to select among competing views. An individual’s capacity for reason, a continual process of self-examination, and knowledge of alternatives are seen to strengthen public commitments to democracy, but cannot ensure it will always prevail. Tolerance is a transcendent norm. In a ‘substantive democracy’, by contrast, democratic procedure is conceived as a means for creating a society where citizens enjoy core rights and liberties. It draws on John Stuart Mill, John Rawls and others in its insistence that rights cannot be used to abolish other rights and that a democracy need not tolerate the intolerant when its core values are at stake. An unalterable democratic core deserves special protection against possible incursions. </w:t>
      </w:r>
      <w:r w:rsidRPr="006B60FF">
        <w:rPr>
          <w:rFonts w:ascii="Times New Roman" w:hAnsi="Times New Roman" w:cs="Times New Roman"/>
          <w:sz w:val="24"/>
          <w:szCs w:val="24"/>
          <w:lang w:val="en-US"/>
        </w:rPr>
        <w:t xml:space="preserve">Table </w:t>
      </w:r>
      <w:r w:rsidR="006B60FF" w:rsidRPr="006B60FF">
        <w:rPr>
          <w:rFonts w:ascii="Times New Roman" w:hAnsi="Times New Roman" w:cs="Times New Roman"/>
          <w:sz w:val="24"/>
          <w:szCs w:val="24"/>
          <w:lang w:val="en-US"/>
        </w:rPr>
        <w:t>2</w:t>
      </w:r>
      <w:r w:rsidRPr="00ED7678">
        <w:rPr>
          <w:rFonts w:ascii="Times New Roman" w:hAnsi="Times New Roman" w:cs="Times New Roman"/>
          <w:sz w:val="24"/>
          <w:szCs w:val="24"/>
          <w:lang w:val="en-US"/>
        </w:rPr>
        <w:t xml:space="preserve"> spells out distinctive legal-constitutional arrangements associated with procedure and substantive conceptions of democracy.</w:t>
      </w:r>
    </w:p>
    <w:p w:rsidR="008C492D" w:rsidRPr="00ED7678" w:rsidRDefault="008C492D" w:rsidP="008C492D">
      <w:pPr>
        <w:spacing w:line="360" w:lineRule="auto"/>
        <w:jc w:val="center"/>
        <w:rPr>
          <w:rFonts w:ascii="Times New Roman" w:hAnsi="Times New Roman" w:cs="Times New Roman"/>
          <w:sz w:val="24"/>
          <w:szCs w:val="24"/>
          <w:lang w:val="en-US"/>
        </w:rPr>
      </w:pPr>
      <w:r w:rsidRPr="006B60FF">
        <w:rPr>
          <w:rFonts w:ascii="Times New Roman" w:hAnsi="Times New Roman" w:cs="Times New Roman"/>
          <w:b/>
          <w:sz w:val="24"/>
          <w:szCs w:val="24"/>
          <w:lang w:val="en-US"/>
        </w:rPr>
        <w:t xml:space="preserve">Table </w:t>
      </w:r>
      <w:r w:rsidR="006B60FF" w:rsidRPr="006B60FF">
        <w:rPr>
          <w:rFonts w:ascii="Times New Roman" w:hAnsi="Times New Roman" w:cs="Times New Roman"/>
          <w:b/>
          <w:sz w:val="24"/>
          <w:szCs w:val="24"/>
          <w:lang w:val="en-US"/>
        </w:rPr>
        <w:t>2</w:t>
      </w:r>
      <w:r w:rsidRPr="006B60FF">
        <w:rPr>
          <w:rFonts w:ascii="Times New Roman" w:hAnsi="Times New Roman" w:cs="Times New Roman"/>
          <w:b/>
          <w:sz w:val="24"/>
          <w:szCs w:val="24"/>
          <w:lang w:val="en-US"/>
        </w:rPr>
        <w:t>:</w:t>
      </w:r>
      <w:r w:rsidRPr="00ED7678">
        <w:rPr>
          <w:rFonts w:ascii="Times New Roman" w:hAnsi="Times New Roman" w:cs="Times New Roman"/>
          <w:b/>
          <w:sz w:val="24"/>
          <w:szCs w:val="24"/>
          <w:lang w:val="en-US"/>
        </w:rPr>
        <w:t xml:space="preserve"> Procedural </w:t>
      </w:r>
      <w:r w:rsidRPr="00ED7678">
        <w:rPr>
          <w:rFonts w:ascii="Times New Roman" w:hAnsi="Times New Roman" w:cs="Times New Roman"/>
          <w:b/>
          <w:i/>
          <w:sz w:val="24"/>
          <w:szCs w:val="24"/>
          <w:lang w:val="en-US"/>
        </w:rPr>
        <w:t>versus</w:t>
      </w:r>
      <w:r w:rsidRPr="00ED7678">
        <w:rPr>
          <w:rFonts w:ascii="Times New Roman" w:hAnsi="Times New Roman" w:cs="Times New Roman"/>
          <w:b/>
          <w:sz w:val="24"/>
          <w:szCs w:val="24"/>
          <w:lang w:val="en-US"/>
        </w:rPr>
        <w:t xml:space="preserve"> Substantive Democracies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5099"/>
      </w:tblGrid>
      <w:tr w:rsidR="008C492D" w:rsidRPr="00ED7678" w:rsidTr="00895231">
        <w:tc>
          <w:tcPr>
            <w:tcW w:w="4115" w:type="dxa"/>
            <w:shd w:val="clear" w:color="auto" w:fill="auto"/>
          </w:tcPr>
          <w:p w:rsidR="008C492D" w:rsidRPr="00ED7678" w:rsidRDefault="008C492D" w:rsidP="00895231">
            <w:pPr>
              <w:spacing w:line="360" w:lineRule="auto"/>
              <w:jc w:val="center"/>
              <w:rPr>
                <w:rFonts w:ascii="Times New Roman" w:hAnsi="Times New Roman" w:cs="Times New Roman"/>
                <w:b/>
                <w:sz w:val="24"/>
                <w:szCs w:val="24"/>
              </w:rPr>
            </w:pPr>
            <w:proofErr w:type="spellStart"/>
            <w:r w:rsidRPr="00ED7678">
              <w:rPr>
                <w:rFonts w:ascii="Times New Roman" w:hAnsi="Times New Roman" w:cs="Times New Roman"/>
                <w:b/>
                <w:sz w:val="24"/>
                <w:szCs w:val="24"/>
              </w:rPr>
              <w:t>Procedural</w:t>
            </w:r>
            <w:proofErr w:type="spellEnd"/>
          </w:p>
        </w:tc>
        <w:tc>
          <w:tcPr>
            <w:tcW w:w="5099" w:type="dxa"/>
            <w:shd w:val="clear" w:color="auto" w:fill="auto"/>
          </w:tcPr>
          <w:p w:rsidR="008C492D" w:rsidRPr="00ED7678" w:rsidRDefault="008C492D" w:rsidP="00895231">
            <w:pPr>
              <w:spacing w:line="360" w:lineRule="auto"/>
              <w:jc w:val="center"/>
              <w:rPr>
                <w:rFonts w:ascii="Times New Roman" w:hAnsi="Times New Roman" w:cs="Times New Roman"/>
                <w:b/>
                <w:sz w:val="24"/>
                <w:szCs w:val="24"/>
              </w:rPr>
            </w:pPr>
            <w:proofErr w:type="spellStart"/>
            <w:r w:rsidRPr="00ED7678">
              <w:rPr>
                <w:rFonts w:ascii="Times New Roman" w:hAnsi="Times New Roman" w:cs="Times New Roman"/>
                <w:b/>
                <w:sz w:val="24"/>
                <w:szCs w:val="24"/>
              </w:rPr>
              <w:t>Substantive</w:t>
            </w:r>
            <w:proofErr w:type="spellEnd"/>
          </w:p>
        </w:tc>
      </w:tr>
      <w:tr w:rsidR="008C492D" w:rsidRPr="002F77FB" w:rsidTr="00895231">
        <w:tc>
          <w:tcPr>
            <w:tcW w:w="4115" w:type="dxa"/>
            <w:shd w:val="clear" w:color="auto" w:fill="auto"/>
          </w:tcPr>
          <w:p w:rsidR="008C492D" w:rsidRPr="00ED7678" w:rsidRDefault="008C492D" w:rsidP="00895231">
            <w:pPr>
              <w:rPr>
                <w:rFonts w:ascii="Times New Roman" w:hAnsi="Times New Roman" w:cs="Times New Roman"/>
                <w:sz w:val="24"/>
                <w:szCs w:val="24"/>
                <w:lang w:val="en-US"/>
              </w:rPr>
            </w:pPr>
            <w:r w:rsidRPr="00ED7678">
              <w:rPr>
                <w:rFonts w:ascii="Times New Roman" w:hAnsi="Times New Roman" w:cs="Times New Roman"/>
                <w:sz w:val="24"/>
                <w:szCs w:val="24"/>
                <w:lang w:val="en-US"/>
              </w:rPr>
              <w:t xml:space="preserve">No substantive limits on Acts of Parliament; or </w:t>
            </w:r>
          </w:p>
        </w:tc>
        <w:tc>
          <w:tcPr>
            <w:tcW w:w="5099" w:type="dxa"/>
            <w:shd w:val="clear" w:color="auto" w:fill="auto"/>
          </w:tcPr>
          <w:p w:rsidR="008C492D" w:rsidRPr="00ED7678" w:rsidRDefault="008C492D" w:rsidP="00895231">
            <w:pPr>
              <w:rPr>
                <w:rFonts w:ascii="Times New Roman" w:hAnsi="Times New Roman" w:cs="Times New Roman"/>
                <w:sz w:val="24"/>
                <w:szCs w:val="24"/>
                <w:lang w:val="en-US"/>
              </w:rPr>
            </w:pPr>
            <w:r w:rsidRPr="00ED7678">
              <w:rPr>
                <w:rFonts w:ascii="Times New Roman" w:hAnsi="Times New Roman" w:cs="Times New Roman"/>
                <w:sz w:val="24"/>
                <w:szCs w:val="24"/>
                <w:lang w:val="en-US"/>
              </w:rPr>
              <w:t>Specific constitutional prohibitions on amendment of core constitutional commitments to democracy or other fundamental features of constitutional order; or</w:t>
            </w:r>
          </w:p>
        </w:tc>
      </w:tr>
      <w:tr w:rsidR="008C492D" w:rsidRPr="002F77FB" w:rsidTr="00895231">
        <w:tc>
          <w:tcPr>
            <w:tcW w:w="4115" w:type="dxa"/>
            <w:shd w:val="clear" w:color="auto" w:fill="auto"/>
          </w:tcPr>
          <w:p w:rsidR="008C492D" w:rsidRPr="00ED7678" w:rsidRDefault="008C492D" w:rsidP="00895231">
            <w:pPr>
              <w:rPr>
                <w:rFonts w:ascii="Times New Roman" w:hAnsi="Times New Roman" w:cs="Times New Roman"/>
                <w:sz w:val="24"/>
                <w:szCs w:val="24"/>
                <w:lang w:val="en-US"/>
              </w:rPr>
            </w:pPr>
            <w:r w:rsidRPr="00ED7678">
              <w:rPr>
                <w:rFonts w:ascii="Times New Roman" w:hAnsi="Times New Roman" w:cs="Times New Roman"/>
                <w:sz w:val="24"/>
                <w:szCs w:val="24"/>
                <w:lang w:val="en-US"/>
              </w:rPr>
              <w:t>No restrictions on the scope of constitutional amendment; or</w:t>
            </w:r>
          </w:p>
        </w:tc>
        <w:tc>
          <w:tcPr>
            <w:tcW w:w="5099" w:type="dxa"/>
            <w:shd w:val="clear" w:color="auto" w:fill="auto"/>
          </w:tcPr>
          <w:p w:rsidR="008C492D" w:rsidRPr="00ED7678" w:rsidRDefault="008C492D" w:rsidP="00895231">
            <w:pPr>
              <w:rPr>
                <w:rFonts w:ascii="Times New Roman" w:hAnsi="Times New Roman" w:cs="Times New Roman"/>
                <w:sz w:val="24"/>
                <w:szCs w:val="24"/>
                <w:lang w:val="en-US"/>
              </w:rPr>
            </w:pPr>
            <w:r w:rsidRPr="00ED7678">
              <w:rPr>
                <w:rFonts w:ascii="Times New Roman" w:hAnsi="Times New Roman" w:cs="Times New Roman"/>
                <w:sz w:val="24"/>
                <w:szCs w:val="24"/>
                <w:lang w:val="en-US"/>
              </w:rPr>
              <w:t>Constitutional duty for political parties to respect the principles of democracy; or</w:t>
            </w:r>
          </w:p>
        </w:tc>
      </w:tr>
      <w:tr w:rsidR="008C492D" w:rsidRPr="002F77FB" w:rsidTr="00895231">
        <w:tc>
          <w:tcPr>
            <w:tcW w:w="4115" w:type="dxa"/>
            <w:shd w:val="clear" w:color="auto" w:fill="auto"/>
          </w:tcPr>
          <w:p w:rsidR="008C492D" w:rsidRPr="00ED7678" w:rsidRDefault="008C492D" w:rsidP="00895231">
            <w:pPr>
              <w:rPr>
                <w:rFonts w:ascii="Times New Roman" w:hAnsi="Times New Roman" w:cs="Times New Roman"/>
                <w:sz w:val="24"/>
                <w:szCs w:val="24"/>
                <w:lang w:val="en-US"/>
              </w:rPr>
            </w:pPr>
            <w:r w:rsidRPr="00ED7678">
              <w:rPr>
                <w:rFonts w:ascii="Times New Roman" w:hAnsi="Times New Roman" w:cs="Times New Roman"/>
                <w:sz w:val="24"/>
                <w:szCs w:val="24"/>
                <w:lang w:val="en-US"/>
              </w:rPr>
              <w:t>Most constitutional scholars will consider proscription of parties unconstitutional</w:t>
            </w:r>
          </w:p>
        </w:tc>
        <w:tc>
          <w:tcPr>
            <w:tcW w:w="5099" w:type="dxa"/>
            <w:shd w:val="clear" w:color="auto" w:fill="auto"/>
          </w:tcPr>
          <w:p w:rsidR="008C492D" w:rsidRPr="00ED7678" w:rsidRDefault="008C492D" w:rsidP="00895231">
            <w:pPr>
              <w:rPr>
                <w:rFonts w:ascii="Times New Roman" w:hAnsi="Times New Roman" w:cs="Times New Roman"/>
                <w:sz w:val="24"/>
                <w:szCs w:val="24"/>
                <w:lang w:val="en-US"/>
              </w:rPr>
            </w:pPr>
            <w:r w:rsidRPr="00ED7678">
              <w:rPr>
                <w:rFonts w:ascii="Times New Roman" w:hAnsi="Times New Roman" w:cs="Times New Roman"/>
                <w:sz w:val="24"/>
                <w:szCs w:val="24"/>
                <w:lang w:val="en-US"/>
              </w:rPr>
              <w:t>Constitutional provisions explicitly permitting restrictions on core rights of association when necessary to protect fundamental democratic principles or other core features of the constitutional order</w:t>
            </w:r>
          </w:p>
        </w:tc>
      </w:tr>
    </w:tbl>
    <w:p w:rsidR="008C492D" w:rsidRPr="00ED7678" w:rsidRDefault="008C492D" w:rsidP="008C492D">
      <w:pPr>
        <w:spacing w:line="360" w:lineRule="auto"/>
        <w:rPr>
          <w:rFonts w:ascii="Times New Roman" w:hAnsi="Times New Roman" w:cs="Times New Roman"/>
          <w:sz w:val="24"/>
          <w:szCs w:val="24"/>
          <w:lang w:val="en-US"/>
        </w:rPr>
      </w:pPr>
    </w:p>
    <w:p w:rsidR="008C492D" w:rsidRPr="00ED7678" w:rsidRDefault="008C492D" w:rsidP="008C492D">
      <w:pPr>
        <w:spacing w:line="360" w:lineRule="auto"/>
        <w:rPr>
          <w:rFonts w:ascii="Times New Roman" w:hAnsi="Times New Roman" w:cs="Times New Roman"/>
          <w:sz w:val="24"/>
          <w:szCs w:val="24"/>
          <w:lang w:val="en-US"/>
        </w:rPr>
      </w:pPr>
      <w:r w:rsidRPr="00ED7678">
        <w:rPr>
          <w:rFonts w:ascii="Times New Roman" w:hAnsi="Times New Roman" w:cs="Times New Roman"/>
          <w:sz w:val="24"/>
          <w:szCs w:val="24"/>
          <w:lang w:val="en-US"/>
        </w:rPr>
        <w:t xml:space="preserve">The typology in Figure 1 also distinguishes between states that may ban a) parties </w:t>
      </w:r>
      <w:r w:rsidRPr="00ED7678">
        <w:rPr>
          <w:rFonts w:ascii="Times New Roman" w:hAnsi="Times New Roman" w:cs="Times New Roman"/>
          <w:i/>
          <w:sz w:val="24"/>
          <w:szCs w:val="24"/>
          <w:lang w:val="en-US"/>
        </w:rPr>
        <w:t>only</w:t>
      </w:r>
      <w:r w:rsidRPr="00ED7678">
        <w:rPr>
          <w:rFonts w:ascii="Times New Roman" w:hAnsi="Times New Roman" w:cs="Times New Roman"/>
          <w:sz w:val="24"/>
          <w:szCs w:val="24"/>
          <w:lang w:val="en-US"/>
        </w:rPr>
        <w:t xml:space="preserve"> for anti-democratic or anti-system </w:t>
      </w:r>
      <w:proofErr w:type="spellStart"/>
      <w:r w:rsidRPr="00ED7678">
        <w:rPr>
          <w:rFonts w:ascii="Times New Roman" w:hAnsi="Times New Roman" w:cs="Times New Roman"/>
          <w:i/>
          <w:sz w:val="24"/>
          <w:szCs w:val="24"/>
          <w:lang w:val="en-US"/>
        </w:rPr>
        <w:t>behaviour</w:t>
      </w:r>
      <w:proofErr w:type="spellEnd"/>
      <w:r w:rsidRPr="00ED7678">
        <w:rPr>
          <w:rFonts w:ascii="Times New Roman" w:hAnsi="Times New Roman" w:cs="Times New Roman"/>
          <w:i/>
          <w:sz w:val="24"/>
          <w:szCs w:val="24"/>
          <w:lang w:val="en-US"/>
        </w:rPr>
        <w:t xml:space="preserve"> </w:t>
      </w:r>
      <w:r w:rsidRPr="00ED7678">
        <w:rPr>
          <w:rFonts w:ascii="Times New Roman" w:hAnsi="Times New Roman" w:cs="Times New Roman"/>
          <w:sz w:val="24"/>
          <w:szCs w:val="24"/>
          <w:lang w:val="en-US"/>
        </w:rPr>
        <w:t>and b) those</w:t>
      </w:r>
      <w:r w:rsidRPr="00ED7678">
        <w:rPr>
          <w:rFonts w:ascii="Times New Roman" w:hAnsi="Times New Roman" w:cs="Times New Roman"/>
          <w:i/>
          <w:sz w:val="24"/>
          <w:szCs w:val="24"/>
          <w:lang w:val="en-US"/>
        </w:rPr>
        <w:t xml:space="preserve"> </w:t>
      </w:r>
      <w:r w:rsidRPr="00ED7678">
        <w:rPr>
          <w:rFonts w:ascii="Times New Roman" w:hAnsi="Times New Roman" w:cs="Times New Roman"/>
          <w:sz w:val="24"/>
          <w:szCs w:val="24"/>
          <w:lang w:val="en-US"/>
        </w:rPr>
        <w:t xml:space="preserve">which may also, or only, ban parties for holding </w:t>
      </w:r>
      <w:r w:rsidRPr="00ED7678">
        <w:rPr>
          <w:rFonts w:ascii="Times New Roman" w:hAnsi="Times New Roman" w:cs="Times New Roman"/>
          <w:sz w:val="24"/>
          <w:szCs w:val="24"/>
          <w:lang w:val="en-US"/>
        </w:rPr>
        <w:lastRenderedPageBreak/>
        <w:t xml:space="preserve">anti-democratic or anti-system </w:t>
      </w:r>
      <w:proofErr w:type="gramStart"/>
      <w:r w:rsidRPr="00ED7678">
        <w:rPr>
          <w:rFonts w:ascii="Times New Roman" w:hAnsi="Times New Roman" w:cs="Times New Roman"/>
          <w:i/>
          <w:sz w:val="24"/>
          <w:szCs w:val="24"/>
          <w:lang w:val="en-US"/>
        </w:rPr>
        <w:t>ideologies</w:t>
      </w:r>
      <w:r w:rsidR="00F44E79">
        <w:rPr>
          <w:rFonts w:ascii="Times New Roman" w:hAnsi="Times New Roman" w:cs="Times New Roman"/>
          <w:sz w:val="24"/>
          <w:szCs w:val="24"/>
          <w:lang w:val="en-US"/>
        </w:rPr>
        <w:t xml:space="preserve"> </w:t>
      </w:r>
      <w:r w:rsidRPr="00ED7678">
        <w:rPr>
          <w:rFonts w:ascii="Times New Roman" w:hAnsi="Times New Roman" w:cs="Times New Roman"/>
          <w:sz w:val="24"/>
          <w:szCs w:val="24"/>
          <w:lang w:val="en-US"/>
        </w:rPr>
        <w:t xml:space="preserve"> </w:t>
      </w:r>
      <w:r w:rsidR="00467C9B">
        <w:rPr>
          <w:rFonts w:ascii="Times New Roman" w:hAnsi="Times New Roman" w:cs="Times New Roman"/>
          <w:sz w:val="24"/>
          <w:szCs w:val="24"/>
          <w:lang w:val="en-US"/>
        </w:rPr>
        <w:t>This</w:t>
      </w:r>
      <w:proofErr w:type="gramEnd"/>
      <w:r w:rsidR="00467C9B">
        <w:rPr>
          <w:rFonts w:ascii="Times New Roman" w:hAnsi="Times New Roman" w:cs="Times New Roman"/>
          <w:sz w:val="24"/>
          <w:szCs w:val="24"/>
          <w:lang w:val="en-US"/>
        </w:rPr>
        <w:t xml:space="preserve"> reflects the observation of other scholars contrasting </w:t>
      </w:r>
      <w:r w:rsidRPr="00ED7678">
        <w:rPr>
          <w:rFonts w:ascii="Times New Roman" w:hAnsi="Times New Roman" w:cs="Times New Roman"/>
          <w:sz w:val="24"/>
          <w:szCs w:val="24"/>
          <w:lang w:val="en-US"/>
        </w:rPr>
        <w:t xml:space="preserve">legislative measures employed against extremist parties according to those that address: </w:t>
      </w:r>
    </w:p>
    <w:p w:rsidR="008C492D" w:rsidRPr="00ED7678" w:rsidRDefault="008C492D" w:rsidP="008C492D">
      <w:pPr>
        <w:spacing w:line="360" w:lineRule="auto"/>
        <w:ind w:left="720"/>
        <w:rPr>
          <w:rFonts w:ascii="Times New Roman" w:hAnsi="Times New Roman" w:cs="Times New Roman"/>
          <w:sz w:val="24"/>
          <w:szCs w:val="24"/>
          <w:lang w:val="en-US"/>
        </w:rPr>
      </w:pPr>
      <w:r w:rsidRPr="00ED7678">
        <w:rPr>
          <w:rFonts w:ascii="Times New Roman" w:hAnsi="Times New Roman" w:cs="Times New Roman"/>
          <w:sz w:val="24"/>
          <w:szCs w:val="24"/>
          <w:lang w:val="en-US"/>
        </w:rPr>
        <w:t>the ‘</w:t>
      </w:r>
      <w:proofErr w:type="spellStart"/>
      <w:r w:rsidRPr="00ED7678">
        <w:rPr>
          <w:rFonts w:ascii="Times New Roman" w:hAnsi="Times New Roman" w:cs="Times New Roman"/>
          <w:i/>
          <w:sz w:val="24"/>
          <w:szCs w:val="24"/>
          <w:lang w:val="en-US"/>
        </w:rPr>
        <w:t>Sein</w:t>
      </w:r>
      <w:proofErr w:type="spellEnd"/>
      <w:r w:rsidRPr="00ED7678">
        <w:rPr>
          <w:rFonts w:ascii="Times New Roman" w:hAnsi="Times New Roman" w:cs="Times New Roman"/>
          <w:sz w:val="24"/>
          <w:szCs w:val="24"/>
          <w:lang w:val="en-US"/>
        </w:rPr>
        <w:t xml:space="preserve"> or ‘being’ of a party of group – the ideological character of the party…– and its </w:t>
      </w:r>
      <w:proofErr w:type="spellStart"/>
      <w:r w:rsidRPr="00ED7678">
        <w:rPr>
          <w:rFonts w:ascii="Times New Roman" w:hAnsi="Times New Roman" w:cs="Times New Roman"/>
          <w:i/>
          <w:sz w:val="24"/>
          <w:szCs w:val="24"/>
          <w:lang w:val="en-US"/>
        </w:rPr>
        <w:t>Handeln</w:t>
      </w:r>
      <w:proofErr w:type="spellEnd"/>
      <w:r w:rsidRPr="00ED7678">
        <w:rPr>
          <w:rFonts w:ascii="Times New Roman" w:hAnsi="Times New Roman" w:cs="Times New Roman"/>
          <w:i/>
          <w:sz w:val="24"/>
          <w:szCs w:val="24"/>
          <w:lang w:val="en-US"/>
        </w:rPr>
        <w:t xml:space="preserve"> </w:t>
      </w:r>
      <w:r w:rsidRPr="00ED7678">
        <w:rPr>
          <w:rFonts w:ascii="Times New Roman" w:hAnsi="Times New Roman" w:cs="Times New Roman"/>
          <w:sz w:val="24"/>
          <w:szCs w:val="24"/>
          <w:lang w:val="en-US"/>
        </w:rPr>
        <w:t xml:space="preserve">or ‘acting’ – which mainly regards unconventional, illegal or violent nature of political </w:t>
      </w:r>
      <w:proofErr w:type="spellStart"/>
      <w:r w:rsidRPr="00ED7678">
        <w:rPr>
          <w:rFonts w:ascii="Times New Roman" w:hAnsi="Times New Roman" w:cs="Times New Roman"/>
          <w:sz w:val="24"/>
          <w:szCs w:val="24"/>
          <w:lang w:val="en-US"/>
        </w:rPr>
        <w:t>behaviour</w:t>
      </w:r>
      <w:proofErr w:type="spellEnd"/>
      <w:r w:rsidRPr="00ED7678">
        <w:rPr>
          <w:rFonts w:ascii="Times New Roman" w:hAnsi="Times New Roman" w:cs="Times New Roman"/>
          <w:sz w:val="24"/>
          <w:szCs w:val="24"/>
          <w:lang w:val="en-US"/>
        </w:rPr>
        <w:t xml:space="preserve"> and strategies (</w:t>
      </w:r>
      <w:proofErr w:type="spellStart"/>
      <w:r w:rsidRPr="00ED7678">
        <w:rPr>
          <w:rFonts w:ascii="Times New Roman" w:hAnsi="Times New Roman" w:cs="Times New Roman"/>
          <w:sz w:val="24"/>
          <w:szCs w:val="24"/>
          <w:lang w:val="en-US"/>
        </w:rPr>
        <w:t>Capoccia</w:t>
      </w:r>
      <w:proofErr w:type="spellEnd"/>
      <w:r w:rsidRPr="00ED7678">
        <w:rPr>
          <w:rFonts w:ascii="Times New Roman" w:hAnsi="Times New Roman" w:cs="Times New Roman"/>
          <w:sz w:val="24"/>
          <w:szCs w:val="24"/>
          <w:lang w:val="en-US"/>
        </w:rPr>
        <w:t xml:space="preserve">, 2001, 13, see also </w:t>
      </w:r>
      <w:proofErr w:type="spellStart"/>
      <w:r w:rsidRPr="00ED7678">
        <w:rPr>
          <w:rFonts w:ascii="Times New Roman" w:hAnsi="Times New Roman" w:cs="Times New Roman"/>
          <w:sz w:val="24"/>
          <w:szCs w:val="24"/>
          <w:lang w:val="en-US"/>
        </w:rPr>
        <w:t>Mudde</w:t>
      </w:r>
      <w:proofErr w:type="spellEnd"/>
      <w:r w:rsidRPr="00ED7678">
        <w:rPr>
          <w:rFonts w:ascii="Times New Roman" w:hAnsi="Times New Roman" w:cs="Times New Roman"/>
          <w:sz w:val="24"/>
          <w:szCs w:val="24"/>
          <w:lang w:val="en-US"/>
        </w:rPr>
        <w:t xml:space="preserve">, 2004, 196 and </w:t>
      </w:r>
      <w:proofErr w:type="spellStart"/>
      <w:r w:rsidRPr="00ED7678">
        <w:rPr>
          <w:rFonts w:ascii="Times New Roman" w:hAnsi="Times New Roman" w:cs="Times New Roman"/>
          <w:sz w:val="24"/>
          <w:szCs w:val="24"/>
          <w:lang w:val="en-US"/>
        </w:rPr>
        <w:t>Issacharof</w:t>
      </w:r>
      <w:proofErr w:type="spellEnd"/>
      <w:r w:rsidRPr="00ED7678">
        <w:rPr>
          <w:rFonts w:ascii="Times New Roman" w:hAnsi="Times New Roman" w:cs="Times New Roman"/>
          <w:sz w:val="24"/>
          <w:szCs w:val="24"/>
          <w:lang w:val="en-US"/>
        </w:rPr>
        <w:t xml:space="preserve">, 2007, 1409). </w:t>
      </w:r>
    </w:p>
    <w:p w:rsidR="008C492D" w:rsidRPr="00ED7678" w:rsidRDefault="008C492D" w:rsidP="008C492D">
      <w:pPr>
        <w:spacing w:line="360" w:lineRule="auto"/>
        <w:rPr>
          <w:rFonts w:ascii="Times New Roman" w:hAnsi="Times New Roman" w:cs="Times New Roman"/>
          <w:sz w:val="24"/>
          <w:szCs w:val="24"/>
          <w:lang w:val="en-US"/>
        </w:rPr>
      </w:pPr>
      <w:r w:rsidRPr="00ED7678">
        <w:rPr>
          <w:rFonts w:ascii="Times New Roman" w:hAnsi="Times New Roman" w:cs="Times New Roman"/>
          <w:sz w:val="24"/>
          <w:szCs w:val="24"/>
          <w:lang w:val="en-US"/>
        </w:rPr>
        <w:t xml:space="preserve">It is important to be aware, however, that this distinction entails a caveat, ‘when they do ban parties’, democracies will do so for either anti-system </w:t>
      </w:r>
      <w:proofErr w:type="spellStart"/>
      <w:r w:rsidRPr="00ED7678">
        <w:rPr>
          <w:rFonts w:ascii="Times New Roman" w:hAnsi="Times New Roman" w:cs="Times New Roman"/>
          <w:sz w:val="24"/>
          <w:szCs w:val="24"/>
          <w:lang w:val="en-US"/>
        </w:rPr>
        <w:t>behaviour</w:t>
      </w:r>
      <w:proofErr w:type="spellEnd"/>
      <w:r w:rsidRPr="00ED7678">
        <w:rPr>
          <w:rFonts w:ascii="Times New Roman" w:hAnsi="Times New Roman" w:cs="Times New Roman"/>
          <w:sz w:val="24"/>
          <w:szCs w:val="24"/>
          <w:lang w:val="en-US"/>
        </w:rPr>
        <w:t xml:space="preserve"> etc. This caveat helps retain the integrity of a model which explicitly accounts for the fact that either procedural or substantive democracies may choose </w:t>
      </w:r>
      <w:r w:rsidRPr="00ED7678">
        <w:rPr>
          <w:rFonts w:ascii="Times New Roman" w:hAnsi="Times New Roman" w:cs="Times New Roman"/>
          <w:i/>
          <w:sz w:val="24"/>
          <w:szCs w:val="24"/>
          <w:lang w:val="en-US"/>
        </w:rPr>
        <w:t>not</w:t>
      </w:r>
      <w:r w:rsidRPr="00ED7678">
        <w:rPr>
          <w:rFonts w:ascii="Times New Roman" w:hAnsi="Times New Roman" w:cs="Times New Roman"/>
          <w:sz w:val="24"/>
          <w:szCs w:val="24"/>
          <w:lang w:val="en-US"/>
        </w:rPr>
        <w:t xml:space="preserve"> to ban political parties, an outcome addressed in the final variable.</w:t>
      </w:r>
    </w:p>
    <w:p w:rsidR="008C492D" w:rsidRPr="00ED7678" w:rsidRDefault="008C492D" w:rsidP="008C492D">
      <w:pPr>
        <w:spacing w:line="360" w:lineRule="auto"/>
        <w:rPr>
          <w:rFonts w:ascii="Times New Roman" w:hAnsi="Times New Roman" w:cs="Times New Roman"/>
          <w:sz w:val="24"/>
          <w:szCs w:val="24"/>
          <w:lang w:val="en-US"/>
        </w:rPr>
      </w:pPr>
      <w:r w:rsidRPr="00ED7678">
        <w:rPr>
          <w:rFonts w:ascii="Times New Roman" w:hAnsi="Times New Roman" w:cs="Times New Roman"/>
          <w:sz w:val="24"/>
          <w:szCs w:val="24"/>
          <w:lang w:val="en-US"/>
        </w:rPr>
        <w:t xml:space="preserve">Cross-cutting the vertical and horizontal axis is a third variable which retains Fox and Nolte’s distinction between states which actively employ available legal rules to ban extremist political parties on the one hand, and those which have no such rules or have them but do not implement them in practice. In Figure 1, this variable is indicated by contrasting background patterns. Thus, </w:t>
      </w:r>
      <w:r w:rsidR="00467C9B">
        <w:rPr>
          <w:rFonts w:ascii="Times New Roman" w:hAnsi="Times New Roman" w:cs="Times New Roman"/>
          <w:sz w:val="24"/>
          <w:szCs w:val="24"/>
          <w:lang w:val="en-US"/>
        </w:rPr>
        <w:t xml:space="preserve">the </w:t>
      </w:r>
      <w:r w:rsidRPr="00ED7678">
        <w:rPr>
          <w:rFonts w:ascii="Times New Roman" w:hAnsi="Times New Roman" w:cs="Times New Roman"/>
          <w:sz w:val="24"/>
          <w:szCs w:val="24"/>
          <w:lang w:val="en-US"/>
        </w:rPr>
        <w:t xml:space="preserve">model distinguishes between democracies that </w:t>
      </w:r>
      <w:r w:rsidRPr="00ED7678">
        <w:rPr>
          <w:rFonts w:ascii="Times New Roman" w:hAnsi="Times New Roman" w:cs="Times New Roman"/>
          <w:i/>
          <w:sz w:val="24"/>
          <w:szCs w:val="24"/>
          <w:lang w:val="en-US"/>
        </w:rPr>
        <w:t>actively</w:t>
      </w:r>
      <w:r w:rsidRPr="00ED7678">
        <w:rPr>
          <w:rFonts w:ascii="Times New Roman" w:hAnsi="Times New Roman" w:cs="Times New Roman"/>
          <w:sz w:val="24"/>
          <w:szCs w:val="24"/>
          <w:lang w:val="en-US"/>
        </w:rPr>
        <w:t xml:space="preserve"> employ the tool of proscription against extremist parties and those that that </w:t>
      </w:r>
      <w:r w:rsidRPr="00ED7678">
        <w:rPr>
          <w:rFonts w:ascii="Times New Roman" w:hAnsi="Times New Roman" w:cs="Times New Roman"/>
          <w:i/>
          <w:sz w:val="24"/>
          <w:szCs w:val="24"/>
          <w:lang w:val="en-US"/>
        </w:rPr>
        <w:t>abstain</w:t>
      </w:r>
      <w:r w:rsidRPr="00ED7678">
        <w:rPr>
          <w:rFonts w:ascii="Times New Roman" w:hAnsi="Times New Roman" w:cs="Times New Roman"/>
          <w:sz w:val="24"/>
          <w:szCs w:val="24"/>
          <w:lang w:val="en-US"/>
        </w:rPr>
        <w:t xml:space="preserve"> from employing this tool. The second, </w:t>
      </w:r>
      <w:proofErr w:type="spellStart"/>
      <w:r w:rsidRPr="00ED7678">
        <w:rPr>
          <w:rFonts w:ascii="Times New Roman" w:hAnsi="Times New Roman" w:cs="Times New Roman"/>
          <w:i/>
          <w:sz w:val="24"/>
          <w:szCs w:val="24"/>
          <w:lang w:val="en-US"/>
        </w:rPr>
        <w:t>abstentionist</w:t>
      </w:r>
      <w:proofErr w:type="spellEnd"/>
      <w:r w:rsidRPr="00ED7678">
        <w:rPr>
          <w:rFonts w:ascii="Times New Roman" w:hAnsi="Times New Roman" w:cs="Times New Roman"/>
          <w:sz w:val="24"/>
          <w:szCs w:val="24"/>
          <w:lang w:val="en-US"/>
        </w:rPr>
        <w:t xml:space="preserve"> category includes two subcategories: democracies that adopt a </w:t>
      </w:r>
      <w:r w:rsidRPr="00ED7678">
        <w:rPr>
          <w:rFonts w:ascii="Times New Roman" w:hAnsi="Times New Roman" w:cs="Times New Roman"/>
          <w:i/>
          <w:sz w:val="24"/>
          <w:szCs w:val="24"/>
          <w:lang w:val="en-US"/>
        </w:rPr>
        <w:t>permissive</w:t>
      </w:r>
      <w:r w:rsidRPr="00ED7678">
        <w:rPr>
          <w:rFonts w:ascii="Times New Roman" w:hAnsi="Times New Roman" w:cs="Times New Roman"/>
          <w:sz w:val="24"/>
          <w:szCs w:val="24"/>
          <w:lang w:val="en-US"/>
        </w:rPr>
        <w:t xml:space="preserve"> stance by choosing not to adopt or use measures permitting proscription of extremist parties at all; and democracies that remain </w:t>
      </w:r>
      <w:r w:rsidRPr="00ED7678">
        <w:rPr>
          <w:rFonts w:ascii="Times New Roman" w:hAnsi="Times New Roman" w:cs="Times New Roman"/>
          <w:i/>
          <w:sz w:val="24"/>
          <w:szCs w:val="24"/>
          <w:lang w:val="en-US"/>
        </w:rPr>
        <w:t>passive</w:t>
      </w:r>
      <w:r w:rsidRPr="00ED7678">
        <w:rPr>
          <w:rFonts w:ascii="Times New Roman" w:hAnsi="Times New Roman" w:cs="Times New Roman"/>
          <w:sz w:val="24"/>
          <w:szCs w:val="24"/>
          <w:lang w:val="en-US"/>
        </w:rPr>
        <w:t xml:space="preserve"> in the face of extremist parties, even though equipped with legal instruments for proscription. </w:t>
      </w:r>
    </w:p>
    <w:p w:rsidR="008C492D" w:rsidRPr="00ED7678" w:rsidRDefault="008C492D" w:rsidP="008C492D">
      <w:pPr>
        <w:spacing w:line="360" w:lineRule="auto"/>
        <w:rPr>
          <w:rFonts w:ascii="Times New Roman" w:hAnsi="Times New Roman" w:cs="Times New Roman"/>
          <w:sz w:val="24"/>
          <w:szCs w:val="24"/>
          <w:lang w:val="en-US"/>
        </w:rPr>
      </w:pPr>
      <w:r w:rsidRPr="00ED7678">
        <w:rPr>
          <w:rFonts w:ascii="Times New Roman" w:hAnsi="Times New Roman" w:cs="Times New Roman"/>
          <w:sz w:val="24"/>
          <w:szCs w:val="24"/>
          <w:lang w:val="en-US"/>
        </w:rPr>
        <w:t xml:space="preserve">This model permits elaboration of a more meaningful conception of what constitutes a broadly ‘tolerant’, and a broadly ‘intolerant’ response on the matter of banning extremist parties. Thus, a ‘tolerant democracy’ includes states taking an </w:t>
      </w:r>
      <w:proofErr w:type="spellStart"/>
      <w:r w:rsidRPr="00ED7678">
        <w:rPr>
          <w:rFonts w:ascii="Times New Roman" w:hAnsi="Times New Roman" w:cs="Times New Roman"/>
          <w:i/>
          <w:sz w:val="24"/>
          <w:szCs w:val="24"/>
          <w:lang w:val="en-US"/>
        </w:rPr>
        <w:t>abstentionist</w:t>
      </w:r>
      <w:proofErr w:type="spellEnd"/>
      <w:r w:rsidRPr="00ED7678">
        <w:rPr>
          <w:rFonts w:ascii="Times New Roman" w:hAnsi="Times New Roman" w:cs="Times New Roman"/>
          <w:sz w:val="24"/>
          <w:szCs w:val="24"/>
          <w:lang w:val="en-US"/>
        </w:rPr>
        <w:t xml:space="preserve"> stance, including either </w:t>
      </w:r>
      <w:r w:rsidRPr="00ED7678">
        <w:rPr>
          <w:rFonts w:ascii="Times New Roman" w:hAnsi="Times New Roman" w:cs="Times New Roman"/>
          <w:i/>
          <w:sz w:val="24"/>
          <w:szCs w:val="24"/>
          <w:lang w:val="en-US"/>
        </w:rPr>
        <w:t>passive</w:t>
      </w:r>
      <w:r w:rsidRPr="00ED7678">
        <w:rPr>
          <w:rFonts w:ascii="Times New Roman" w:hAnsi="Times New Roman" w:cs="Times New Roman"/>
          <w:sz w:val="24"/>
          <w:szCs w:val="24"/>
          <w:lang w:val="en-US"/>
        </w:rPr>
        <w:t xml:space="preserve"> or </w:t>
      </w:r>
      <w:r w:rsidRPr="00ED7678">
        <w:rPr>
          <w:rFonts w:ascii="Times New Roman" w:hAnsi="Times New Roman" w:cs="Times New Roman"/>
          <w:i/>
          <w:sz w:val="24"/>
          <w:szCs w:val="24"/>
          <w:lang w:val="en-US"/>
        </w:rPr>
        <w:t>permissive</w:t>
      </w:r>
      <w:r w:rsidRPr="00ED7678">
        <w:rPr>
          <w:rFonts w:ascii="Times New Roman" w:hAnsi="Times New Roman" w:cs="Times New Roman"/>
          <w:sz w:val="24"/>
          <w:szCs w:val="24"/>
          <w:lang w:val="en-US"/>
        </w:rPr>
        <w:t xml:space="preserve"> orientations, while an ‘intolerant democracy’ is one taking an </w:t>
      </w:r>
      <w:r w:rsidRPr="00ED7678">
        <w:rPr>
          <w:rFonts w:ascii="Times New Roman" w:hAnsi="Times New Roman" w:cs="Times New Roman"/>
          <w:i/>
          <w:sz w:val="24"/>
          <w:szCs w:val="24"/>
          <w:lang w:val="en-US"/>
        </w:rPr>
        <w:t>activist</w:t>
      </w:r>
      <w:r w:rsidRPr="00ED7678">
        <w:rPr>
          <w:rFonts w:ascii="Times New Roman" w:hAnsi="Times New Roman" w:cs="Times New Roman"/>
          <w:sz w:val="24"/>
          <w:szCs w:val="24"/>
          <w:lang w:val="en-US"/>
        </w:rPr>
        <w:t xml:space="preserve"> stance by actually banning parties either for anti-democratic actions or ideas.  It also permits both cross-cultural synchronic comparisons and diachronic comparisons within individual states over time (for more details of examples referred to in Figure 1 see Bourne</w:t>
      </w:r>
      <w:r w:rsidR="00467C9B">
        <w:rPr>
          <w:rFonts w:ascii="Times New Roman" w:hAnsi="Times New Roman" w:cs="Times New Roman"/>
          <w:sz w:val="24"/>
          <w:szCs w:val="24"/>
          <w:lang w:val="en-US"/>
        </w:rPr>
        <w:t xml:space="preserve"> 2012b</w:t>
      </w:r>
      <w:r w:rsidRPr="00ED7678">
        <w:rPr>
          <w:rFonts w:ascii="Times New Roman" w:hAnsi="Times New Roman" w:cs="Times New Roman"/>
          <w:sz w:val="24"/>
          <w:szCs w:val="24"/>
          <w:lang w:val="en-US"/>
        </w:rPr>
        <w:t>)</w:t>
      </w:r>
    </w:p>
    <w:p w:rsidR="008C492D" w:rsidRPr="00ED7678" w:rsidRDefault="008C492D" w:rsidP="008C492D">
      <w:pPr>
        <w:spacing w:line="360" w:lineRule="auto"/>
        <w:rPr>
          <w:rFonts w:ascii="Times New Roman" w:hAnsi="Times New Roman" w:cs="Times New Roman"/>
          <w:sz w:val="24"/>
          <w:szCs w:val="24"/>
          <w:lang w:val="en-US"/>
        </w:rPr>
      </w:pPr>
      <w:r w:rsidRPr="00ED7678">
        <w:rPr>
          <w:rFonts w:ascii="Times New Roman" w:hAnsi="Times New Roman" w:cs="Times New Roman"/>
          <w:sz w:val="24"/>
          <w:szCs w:val="24"/>
          <w:lang w:val="en-US"/>
        </w:rPr>
        <w:t xml:space="preserve">Classifications of party bans presented in this section not only provide an overview of party ban cases in Europe. They permit a more systematic selection of cases for analysis of party ban effects on party systems discussed in the next section; namely, the proscription of the far-right Socialist </w:t>
      </w:r>
      <w:r w:rsidRPr="00ED7678">
        <w:rPr>
          <w:rFonts w:ascii="Times New Roman" w:hAnsi="Times New Roman" w:cs="Times New Roman"/>
          <w:sz w:val="24"/>
          <w:szCs w:val="24"/>
          <w:lang w:val="en-US"/>
        </w:rPr>
        <w:lastRenderedPageBreak/>
        <w:t xml:space="preserve">Reich Party and orthodox Communist Party of Germany in the 1950s; the proscription of Islamist and Kurdish nationalist parties in Turkey from the 1980s; and the radical Basque nationalist parties, </w:t>
      </w:r>
      <w:proofErr w:type="spellStart"/>
      <w:r w:rsidRPr="00ED7678">
        <w:rPr>
          <w:rFonts w:ascii="Times New Roman" w:hAnsi="Times New Roman" w:cs="Times New Roman"/>
          <w:i/>
          <w:sz w:val="24"/>
          <w:szCs w:val="24"/>
          <w:lang w:val="en-US"/>
        </w:rPr>
        <w:t>Herri</w:t>
      </w:r>
      <w:proofErr w:type="spellEnd"/>
      <w:r w:rsidRPr="00ED7678">
        <w:rPr>
          <w:rFonts w:ascii="Times New Roman" w:hAnsi="Times New Roman" w:cs="Times New Roman"/>
          <w:i/>
          <w:sz w:val="24"/>
          <w:szCs w:val="24"/>
          <w:lang w:val="en-US"/>
        </w:rPr>
        <w:t xml:space="preserve"> </w:t>
      </w:r>
      <w:proofErr w:type="spellStart"/>
      <w:r w:rsidRPr="00ED7678">
        <w:rPr>
          <w:rFonts w:ascii="Times New Roman" w:hAnsi="Times New Roman" w:cs="Times New Roman"/>
          <w:i/>
          <w:sz w:val="24"/>
          <w:szCs w:val="24"/>
          <w:lang w:val="en-US"/>
        </w:rPr>
        <w:t>Batasuna</w:t>
      </w:r>
      <w:proofErr w:type="spellEnd"/>
      <w:r w:rsidRPr="00ED7678">
        <w:rPr>
          <w:rFonts w:ascii="Times New Roman" w:hAnsi="Times New Roman" w:cs="Times New Roman"/>
          <w:sz w:val="24"/>
          <w:szCs w:val="24"/>
          <w:lang w:val="en-US"/>
        </w:rPr>
        <w:t xml:space="preserve"> and its successors from 2003. </w:t>
      </w:r>
    </w:p>
    <w:p w:rsidR="008C492D" w:rsidRDefault="008C492D" w:rsidP="008C492D">
      <w:pPr>
        <w:spacing w:line="360" w:lineRule="auto"/>
        <w:rPr>
          <w:rFonts w:ascii="Times New Roman" w:hAnsi="Times New Roman" w:cs="Times New Roman"/>
          <w:sz w:val="24"/>
          <w:szCs w:val="24"/>
          <w:lang w:val="en-US"/>
        </w:rPr>
      </w:pPr>
      <w:r w:rsidRPr="00ED7678">
        <w:rPr>
          <w:rFonts w:ascii="Times New Roman" w:hAnsi="Times New Roman" w:cs="Times New Roman"/>
          <w:sz w:val="24"/>
          <w:szCs w:val="24"/>
          <w:lang w:val="en-US"/>
        </w:rPr>
        <w:t xml:space="preserve">In the first place, all of these cases took place in ‘intolerant-activist’ party regimes. Prior to the proscription of HB, EH and </w:t>
      </w:r>
      <w:proofErr w:type="spellStart"/>
      <w:r w:rsidRPr="00ED7678">
        <w:rPr>
          <w:rFonts w:ascii="Times New Roman" w:hAnsi="Times New Roman" w:cs="Times New Roman"/>
          <w:i/>
          <w:sz w:val="24"/>
          <w:szCs w:val="24"/>
          <w:lang w:val="en-US"/>
        </w:rPr>
        <w:t>Batasuna</w:t>
      </w:r>
      <w:proofErr w:type="spellEnd"/>
      <w:r w:rsidRPr="00ED7678">
        <w:rPr>
          <w:rFonts w:ascii="Times New Roman" w:hAnsi="Times New Roman" w:cs="Times New Roman"/>
          <w:sz w:val="24"/>
          <w:szCs w:val="24"/>
          <w:lang w:val="en-US"/>
        </w:rPr>
        <w:t xml:space="preserve"> in 2003, Spain could be classed as a passive procedural democracy equipped to ban parties for anti-system </w:t>
      </w:r>
      <w:proofErr w:type="spellStart"/>
      <w:r w:rsidRPr="00ED7678">
        <w:rPr>
          <w:rFonts w:ascii="Times New Roman" w:hAnsi="Times New Roman" w:cs="Times New Roman"/>
          <w:sz w:val="24"/>
          <w:szCs w:val="24"/>
          <w:lang w:val="en-US"/>
        </w:rPr>
        <w:t>behaviour</w:t>
      </w:r>
      <w:proofErr w:type="spellEnd"/>
      <w:r w:rsidRPr="00ED7678">
        <w:rPr>
          <w:rFonts w:ascii="Times New Roman" w:hAnsi="Times New Roman" w:cs="Times New Roman"/>
          <w:sz w:val="24"/>
          <w:szCs w:val="24"/>
          <w:lang w:val="en-US"/>
        </w:rPr>
        <w:t xml:space="preserve">, given that provisions of an earlier Law on Political Parties (Law 54/1978) and the Penal Code permitting proscription of parties were unused. However, between 2003 and 2013, Spain could be classified as an activist procedural democracy that bans political parties for anti-system </w:t>
      </w:r>
      <w:proofErr w:type="spellStart"/>
      <w:r w:rsidRPr="00ED7678">
        <w:rPr>
          <w:rFonts w:ascii="Times New Roman" w:hAnsi="Times New Roman" w:cs="Times New Roman"/>
          <w:sz w:val="24"/>
          <w:szCs w:val="24"/>
          <w:lang w:val="en-US"/>
        </w:rPr>
        <w:t>behaviour</w:t>
      </w:r>
      <w:proofErr w:type="spellEnd"/>
      <w:r w:rsidRPr="00ED7678">
        <w:rPr>
          <w:rFonts w:ascii="Times New Roman" w:hAnsi="Times New Roman" w:cs="Times New Roman"/>
          <w:sz w:val="24"/>
          <w:szCs w:val="24"/>
          <w:lang w:val="en-US"/>
        </w:rPr>
        <w:t xml:space="preserve">. Germany can be considered a fairly unambiguous case of a substantive democracy, which has actively employed the instruments of militant democracy against political parties for anti-system </w:t>
      </w:r>
      <w:proofErr w:type="spellStart"/>
      <w:r w:rsidRPr="00ED7678">
        <w:rPr>
          <w:rFonts w:ascii="Times New Roman" w:hAnsi="Times New Roman" w:cs="Times New Roman"/>
          <w:sz w:val="24"/>
          <w:szCs w:val="24"/>
          <w:lang w:val="en-US"/>
        </w:rPr>
        <w:t>behaviour</w:t>
      </w:r>
      <w:proofErr w:type="spellEnd"/>
      <w:r w:rsidRPr="00ED7678">
        <w:rPr>
          <w:rFonts w:ascii="Times New Roman" w:hAnsi="Times New Roman" w:cs="Times New Roman"/>
          <w:sz w:val="24"/>
          <w:szCs w:val="24"/>
          <w:lang w:val="en-US"/>
        </w:rPr>
        <w:t xml:space="preserve"> and/or ideas (Fox and Nolte, 2000, 415-417; Thiel, 2009, 394). This was clearly the case in the 1950s when it banned the Socialist Reich Party and the Communist Party of Germany in accordance with Basic Law article 21.2 provisions permitting proscription of parties undermining the ‘free democratic basic order’. It could also be argued that more recent attempts to invoke this provision against the National Democratic Party of Germany justify this classification for the present. The case ultimately failed on procedural grounds rather than because the government and parliament were unwilling to invoke available legal instruments to ban an extremist political party (Thiel 2009, 112).</w:t>
      </w:r>
      <w:r w:rsidR="00883DB3">
        <w:rPr>
          <w:rFonts w:ascii="Times New Roman" w:hAnsi="Times New Roman" w:cs="Times New Roman"/>
          <w:sz w:val="24"/>
          <w:szCs w:val="24"/>
          <w:lang w:val="en-US"/>
        </w:rPr>
        <w:t xml:space="preserve"> Like Germany, Turkey can be considered a substantive democracy, which has </w:t>
      </w:r>
      <w:r w:rsidR="00883DB3" w:rsidRPr="00883DB3">
        <w:rPr>
          <w:rFonts w:ascii="Times New Roman" w:hAnsi="Times New Roman" w:cs="Times New Roman"/>
          <w:i/>
          <w:sz w:val="24"/>
          <w:szCs w:val="24"/>
          <w:lang w:val="en-US"/>
        </w:rPr>
        <w:t>very</w:t>
      </w:r>
      <w:r w:rsidR="00883DB3">
        <w:rPr>
          <w:rFonts w:ascii="Times New Roman" w:hAnsi="Times New Roman" w:cs="Times New Roman"/>
          <w:sz w:val="24"/>
          <w:szCs w:val="24"/>
          <w:lang w:val="en-US"/>
        </w:rPr>
        <w:t xml:space="preserve"> actively (see Table 1) employed constitutional provisions permitting proscription of parties for either anti-system behavior and/or ideas (</w:t>
      </w:r>
      <w:proofErr w:type="spellStart"/>
      <w:r w:rsidR="00883DB3">
        <w:rPr>
          <w:rFonts w:ascii="Times New Roman" w:hAnsi="Times New Roman" w:cs="Times New Roman"/>
          <w:sz w:val="24"/>
          <w:szCs w:val="24"/>
          <w:lang w:val="en-US"/>
        </w:rPr>
        <w:t>Güney</w:t>
      </w:r>
      <w:proofErr w:type="spellEnd"/>
      <w:r w:rsidR="00883DB3">
        <w:rPr>
          <w:rFonts w:ascii="Times New Roman" w:hAnsi="Times New Roman" w:cs="Times New Roman"/>
          <w:sz w:val="24"/>
          <w:szCs w:val="24"/>
          <w:lang w:val="en-US"/>
        </w:rPr>
        <w:t xml:space="preserve"> and </w:t>
      </w:r>
      <w:proofErr w:type="spellStart"/>
      <w:r w:rsidR="00883DB3">
        <w:rPr>
          <w:rFonts w:ascii="Times New Roman" w:hAnsi="Times New Roman" w:cs="Times New Roman"/>
          <w:sz w:val="24"/>
          <w:szCs w:val="24"/>
          <w:lang w:val="en-US"/>
        </w:rPr>
        <w:t>Başkan</w:t>
      </w:r>
      <w:proofErr w:type="spellEnd"/>
      <w:r w:rsidR="00883DB3">
        <w:rPr>
          <w:rFonts w:ascii="Times New Roman" w:hAnsi="Times New Roman" w:cs="Times New Roman"/>
          <w:sz w:val="24"/>
          <w:szCs w:val="24"/>
          <w:lang w:val="en-US"/>
        </w:rPr>
        <w:t xml:space="preserve">, 2008). Parties have been banned in accordance with article 68 and 69 of the 1982 Turkish constitution which permits the Constitutional Court to dissolve parties that become a focal point of activities, statutes or </w:t>
      </w:r>
      <w:proofErr w:type="spellStart"/>
      <w:r w:rsidR="00883DB3">
        <w:rPr>
          <w:rFonts w:ascii="Times New Roman" w:hAnsi="Times New Roman" w:cs="Times New Roman"/>
          <w:sz w:val="24"/>
          <w:szCs w:val="24"/>
          <w:lang w:val="en-US"/>
        </w:rPr>
        <w:t>programmes</w:t>
      </w:r>
      <w:proofErr w:type="spellEnd"/>
      <w:r w:rsidR="00883DB3">
        <w:rPr>
          <w:rFonts w:ascii="Times New Roman" w:hAnsi="Times New Roman" w:cs="Times New Roman"/>
          <w:sz w:val="24"/>
          <w:szCs w:val="24"/>
          <w:lang w:val="en-US"/>
        </w:rPr>
        <w:t xml:space="preserve"> that challenge, among other things, the integrity of state territory and the [Turkish] nation, national sovereignty, principles of a democratic and secular Republic</w:t>
      </w:r>
      <w:r w:rsidR="00635FFD">
        <w:rPr>
          <w:rFonts w:ascii="Times New Roman" w:hAnsi="Times New Roman" w:cs="Times New Roman"/>
          <w:sz w:val="24"/>
          <w:szCs w:val="24"/>
          <w:lang w:val="en-US"/>
        </w:rPr>
        <w:t xml:space="preserve">, or aim to defend or establish any kind of dictatorship or encourage commitment of any crime.  Over two dozen principally communist/socialist, Kurdish nationalist and </w:t>
      </w:r>
      <w:proofErr w:type="spellStart"/>
      <w:proofErr w:type="gramStart"/>
      <w:r w:rsidR="00635FFD">
        <w:rPr>
          <w:rFonts w:ascii="Times New Roman" w:hAnsi="Times New Roman" w:cs="Times New Roman"/>
          <w:sz w:val="24"/>
          <w:szCs w:val="24"/>
          <w:lang w:val="en-US"/>
        </w:rPr>
        <w:t>islamist</w:t>
      </w:r>
      <w:proofErr w:type="spellEnd"/>
      <w:proofErr w:type="gramEnd"/>
      <w:r w:rsidR="00635FFD">
        <w:rPr>
          <w:rFonts w:ascii="Times New Roman" w:hAnsi="Times New Roman" w:cs="Times New Roman"/>
          <w:sz w:val="24"/>
          <w:szCs w:val="24"/>
          <w:lang w:val="en-US"/>
        </w:rPr>
        <w:t xml:space="preserve"> parties have been banned since 1960s (ibid).</w:t>
      </w:r>
    </w:p>
    <w:p w:rsidR="008C492D" w:rsidRDefault="008C492D" w:rsidP="008C492D">
      <w:pPr>
        <w:spacing w:after="0" w:line="36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 xml:space="preserve">Secondly, some of the banned parties we considered here were electorally successful. As mentioned above, </w:t>
      </w:r>
      <w:proofErr w:type="spellStart"/>
      <w:r w:rsidRPr="003864B0">
        <w:rPr>
          <w:rFonts w:ascii="Times New Roman" w:hAnsi="Times New Roman" w:cs="Times New Roman"/>
          <w:i/>
          <w:sz w:val="24"/>
          <w:szCs w:val="24"/>
          <w:lang w:val="en-US"/>
        </w:rPr>
        <w:t>Herri</w:t>
      </w:r>
      <w:proofErr w:type="spellEnd"/>
      <w:r w:rsidRPr="003864B0">
        <w:rPr>
          <w:rFonts w:ascii="Times New Roman" w:hAnsi="Times New Roman" w:cs="Times New Roman"/>
          <w:i/>
          <w:sz w:val="24"/>
          <w:szCs w:val="24"/>
          <w:lang w:val="en-US"/>
        </w:rPr>
        <w:t xml:space="preserve"> </w:t>
      </w:r>
      <w:proofErr w:type="spellStart"/>
      <w:r w:rsidRPr="003864B0">
        <w:rPr>
          <w:rFonts w:ascii="Times New Roman" w:hAnsi="Times New Roman" w:cs="Times New Roman"/>
          <w:i/>
          <w:sz w:val="24"/>
          <w:szCs w:val="24"/>
          <w:lang w:val="en-US"/>
        </w:rPr>
        <w:t>Batasuna</w:t>
      </w:r>
      <w:proofErr w:type="spellEnd"/>
      <w:r>
        <w:rPr>
          <w:rFonts w:ascii="Times New Roman" w:hAnsi="Times New Roman" w:cs="Times New Roman"/>
          <w:sz w:val="24"/>
          <w:szCs w:val="24"/>
          <w:lang w:val="en-US"/>
        </w:rPr>
        <w:t xml:space="preserve"> were able to capture as much as 18% in its best showing in Basque elections in 1990 and the Islamist Welfare Party, was the largest party after the 1996 election with 22% of the vote. In Germany, in the 1950s, the </w:t>
      </w:r>
      <w:r w:rsidRPr="00161C1B">
        <w:rPr>
          <w:rFonts w:ascii="Times New Roman" w:hAnsi="Times New Roman" w:cs="Times New Roman"/>
          <w:sz w:val="24"/>
          <w:szCs w:val="24"/>
          <w:lang w:val="en-US"/>
        </w:rPr>
        <w:t xml:space="preserve">Socialist Reich Party </w:t>
      </w:r>
      <w:r w:rsidRPr="00161C1B">
        <w:rPr>
          <w:rFonts w:ascii="Times New Roman" w:hAnsi="Times New Roman" w:cs="Times New Roman"/>
          <w:iCs/>
          <w:sz w:val="24"/>
          <w:szCs w:val="24"/>
          <w:lang w:val="en-US"/>
        </w:rPr>
        <w:t xml:space="preserve">enjoyed electoral success in the states of </w:t>
      </w:r>
      <w:r w:rsidRPr="00161C1B">
        <w:rPr>
          <w:rFonts w:ascii="Times New Roman" w:hAnsi="Times New Roman" w:cs="Times New Roman"/>
          <w:iCs/>
          <w:sz w:val="24"/>
          <w:szCs w:val="24"/>
          <w:lang w:val="en-US"/>
        </w:rPr>
        <w:lastRenderedPageBreak/>
        <w:t xml:space="preserve">Lower Saxony, winning 11% of the vote and 15 seats, and Bremen, winning 7.7% and 8 seats and the Communist Party of Germany won up to 5.7% of the vote in 1949. The proscription of parties such as these </w:t>
      </w:r>
      <w:r w:rsidR="001B2C3F">
        <w:rPr>
          <w:rFonts w:ascii="Times New Roman" w:hAnsi="Times New Roman" w:cs="Times New Roman"/>
          <w:iCs/>
          <w:sz w:val="24"/>
          <w:szCs w:val="24"/>
          <w:lang w:val="en-US"/>
        </w:rPr>
        <w:t xml:space="preserve">is </w:t>
      </w:r>
      <w:r w:rsidRPr="00161C1B">
        <w:rPr>
          <w:rFonts w:ascii="Times New Roman" w:hAnsi="Times New Roman" w:cs="Times New Roman"/>
          <w:iCs/>
          <w:sz w:val="24"/>
          <w:szCs w:val="24"/>
          <w:lang w:val="en-US"/>
        </w:rPr>
        <w:t>more likely to have party system effects than other less electorally successful banned parties.</w:t>
      </w:r>
    </w:p>
    <w:p w:rsidR="00467C9B" w:rsidRPr="00161C1B" w:rsidRDefault="00467C9B" w:rsidP="008C492D">
      <w:pPr>
        <w:spacing w:after="0" w:line="360" w:lineRule="auto"/>
        <w:jc w:val="both"/>
        <w:rPr>
          <w:rFonts w:ascii="Times New Roman" w:hAnsi="Times New Roman" w:cs="Times New Roman"/>
          <w:iCs/>
          <w:sz w:val="24"/>
          <w:szCs w:val="24"/>
          <w:lang w:val="en-US"/>
        </w:rPr>
      </w:pPr>
    </w:p>
    <w:p w:rsidR="008C492D" w:rsidRPr="00161C1B" w:rsidRDefault="008C492D" w:rsidP="008C492D">
      <w:pPr>
        <w:spacing w:after="0" w:line="360" w:lineRule="auto"/>
        <w:jc w:val="both"/>
        <w:rPr>
          <w:rFonts w:ascii="Times New Roman" w:hAnsi="Times New Roman" w:cs="Times New Roman"/>
          <w:iCs/>
          <w:sz w:val="24"/>
          <w:szCs w:val="24"/>
          <w:lang w:val="en-US"/>
        </w:rPr>
      </w:pPr>
      <w:r w:rsidRPr="00161C1B">
        <w:rPr>
          <w:rFonts w:ascii="Times New Roman" w:hAnsi="Times New Roman" w:cs="Times New Roman"/>
          <w:iCs/>
          <w:sz w:val="24"/>
          <w:szCs w:val="24"/>
          <w:lang w:val="en-US"/>
        </w:rPr>
        <w:t xml:space="preserve">However, the party ban cases we examine differ in other respects which may be relevant for party systems. Party bans in Germany took place during the early years of the German transition to democracy installed after the defeat of </w:t>
      </w:r>
      <w:proofErr w:type="gramStart"/>
      <w:r w:rsidRPr="00161C1B">
        <w:rPr>
          <w:rFonts w:ascii="Times New Roman" w:hAnsi="Times New Roman" w:cs="Times New Roman"/>
          <w:iCs/>
          <w:sz w:val="24"/>
          <w:szCs w:val="24"/>
          <w:lang w:val="en-US"/>
        </w:rPr>
        <w:t>national socialism</w:t>
      </w:r>
      <w:proofErr w:type="gramEnd"/>
      <w:r w:rsidRPr="00161C1B">
        <w:rPr>
          <w:rFonts w:ascii="Times New Roman" w:hAnsi="Times New Roman" w:cs="Times New Roman"/>
          <w:iCs/>
          <w:sz w:val="24"/>
          <w:szCs w:val="24"/>
          <w:lang w:val="en-US"/>
        </w:rPr>
        <w:t xml:space="preserve"> in </w:t>
      </w:r>
      <w:r w:rsidR="00467C9B">
        <w:rPr>
          <w:rFonts w:ascii="Times New Roman" w:hAnsi="Times New Roman" w:cs="Times New Roman"/>
          <w:iCs/>
          <w:sz w:val="24"/>
          <w:szCs w:val="24"/>
          <w:lang w:val="en-US"/>
        </w:rPr>
        <w:t>W</w:t>
      </w:r>
      <w:r w:rsidRPr="00161C1B">
        <w:rPr>
          <w:rFonts w:ascii="Times New Roman" w:hAnsi="Times New Roman" w:cs="Times New Roman"/>
          <w:iCs/>
          <w:sz w:val="24"/>
          <w:szCs w:val="24"/>
          <w:lang w:val="en-US"/>
        </w:rPr>
        <w:t xml:space="preserve">orld </w:t>
      </w:r>
      <w:r w:rsidR="00467C9B">
        <w:rPr>
          <w:rFonts w:ascii="Times New Roman" w:hAnsi="Times New Roman" w:cs="Times New Roman"/>
          <w:iCs/>
          <w:sz w:val="24"/>
          <w:szCs w:val="24"/>
          <w:lang w:val="en-US"/>
        </w:rPr>
        <w:t>W</w:t>
      </w:r>
      <w:r w:rsidRPr="00161C1B">
        <w:rPr>
          <w:rFonts w:ascii="Times New Roman" w:hAnsi="Times New Roman" w:cs="Times New Roman"/>
          <w:iCs/>
          <w:sz w:val="24"/>
          <w:szCs w:val="24"/>
          <w:lang w:val="en-US"/>
        </w:rPr>
        <w:t xml:space="preserve">ar </w:t>
      </w:r>
      <w:r w:rsidR="00467C9B">
        <w:rPr>
          <w:rFonts w:ascii="Times New Roman" w:hAnsi="Times New Roman" w:cs="Times New Roman"/>
          <w:iCs/>
          <w:sz w:val="24"/>
          <w:szCs w:val="24"/>
          <w:lang w:val="en-US"/>
        </w:rPr>
        <w:t>T</w:t>
      </w:r>
      <w:r w:rsidRPr="00161C1B">
        <w:rPr>
          <w:rFonts w:ascii="Times New Roman" w:hAnsi="Times New Roman" w:cs="Times New Roman"/>
          <w:iCs/>
          <w:sz w:val="24"/>
          <w:szCs w:val="24"/>
          <w:lang w:val="en-US"/>
        </w:rPr>
        <w:t xml:space="preserve">wo and as such constitute a case of ‘new democracy’ party bans.  In Turkey, we examine proscription of parties that took place after the restoration of democratic institutions after a period of military rule. However, continued deficits in the quality of democratic politics in Turkey, especially in the fields of civil-military relations, respect for civil, political and minority </w:t>
      </w:r>
      <w:proofErr w:type="gramStart"/>
      <w:r w:rsidRPr="00161C1B">
        <w:rPr>
          <w:rFonts w:ascii="Times New Roman" w:hAnsi="Times New Roman" w:cs="Times New Roman"/>
          <w:iCs/>
          <w:sz w:val="24"/>
          <w:szCs w:val="24"/>
          <w:lang w:val="en-US"/>
        </w:rPr>
        <w:t>rights,</w:t>
      </w:r>
      <w:proofErr w:type="gramEnd"/>
      <w:r w:rsidRPr="00161C1B">
        <w:rPr>
          <w:rFonts w:ascii="Times New Roman" w:hAnsi="Times New Roman" w:cs="Times New Roman"/>
          <w:iCs/>
          <w:sz w:val="24"/>
          <w:szCs w:val="24"/>
          <w:lang w:val="en-US"/>
        </w:rPr>
        <w:t xml:space="preserve"> mean the party bans we consider should be considered ‘incomplete democracy’ party bans. In contrast, proscription of </w:t>
      </w:r>
      <w:proofErr w:type="spellStart"/>
      <w:r w:rsidRPr="00161C1B">
        <w:rPr>
          <w:rFonts w:ascii="Times New Roman" w:hAnsi="Times New Roman" w:cs="Times New Roman"/>
          <w:i/>
          <w:iCs/>
          <w:sz w:val="24"/>
          <w:szCs w:val="24"/>
          <w:lang w:val="en-US"/>
        </w:rPr>
        <w:t>Herri</w:t>
      </w:r>
      <w:proofErr w:type="spellEnd"/>
      <w:r w:rsidRPr="00161C1B">
        <w:rPr>
          <w:rFonts w:ascii="Times New Roman" w:hAnsi="Times New Roman" w:cs="Times New Roman"/>
          <w:i/>
          <w:iCs/>
          <w:sz w:val="24"/>
          <w:szCs w:val="24"/>
          <w:lang w:val="en-US"/>
        </w:rPr>
        <w:t xml:space="preserve"> </w:t>
      </w:r>
      <w:proofErr w:type="spellStart"/>
      <w:r w:rsidRPr="00161C1B">
        <w:rPr>
          <w:rFonts w:ascii="Times New Roman" w:hAnsi="Times New Roman" w:cs="Times New Roman"/>
          <w:i/>
          <w:iCs/>
          <w:sz w:val="24"/>
          <w:szCs w:val="24"/>
          <w:lang w:val="en-US"/>
        </w:rPr>
        <w:t>Batasuna</w:t>
      </w:r>
      <w:proofErr w:type="spellEnd"/>
      <w:r w:rsidRPr="00161C1B">
        <w:rPr>
          <w:rFonts w:ascii="Times New Roman" w:hAnsi="Times New Roman" w:cs="Times New Roman"/>
          <w:iCs/>
          <w:sz w:val="24"/>
          <w:szCs w:val="24"/>
          <w:lang w:val="en-US"/>
        </w:rPr>
        <w:t xml:space="preserve"> and its successors occurred many years after the Spanish transition to democracy, after the consolidation of democratic institutions. Party system effects may differ depending on the degree of democratization given that party systems in new democratic states tend to be less stable than those in more established ones. Furthermore, incomplete democracies are often characterized by the circumscription of electoral competition through systematic exclusion of electorally relevant groups (Merkel and Croissant, 2000, 36-7).</w:t>
      </w:r>
      <w:r w:rsidR="00467C9B">
        <w:rPr>
          <w:rFonts w:ascii="Times New Roman" w:hAnsi="Times New Roman" w:cs="Times New Roman"/>
          <w:iCs/>
          <w:sz w:val="24"/>
          <w:szCs w:val="24"/>
          <w:lang w:val="en-US"/>
        </w:rPr>
        <w:t xml:space="preserve"> We now present a </w:t>
      </w:r>
      <w:r w:rsidR="00467C9B">
        <w:rPr>
          <w:rFonts w:ascii="Times New Roman" w:hAnsi="Times New Roman" w:cs="Times New Roman"/>
          <w:sz w:val="24"/>
          <w:szCs w:val="24"/>
          <w:lang w:val="en-US"/>
        </w:rPr>
        <w:t>theoretical framework for examining party ban effects on party systems more systematically.</w:t>
      </w:r>
    </w:p>
    <w:p w:rsidR="00653A92" w:rsidRDefault="00653A92" w:rsidP="00653A92">
      <w:pPr>
        <w:spacing w:after="0" w:line="360" w:lineRule="auto"/>
        <w:rPr>
          <w:rFonts w:ascii="Times New Roman" w:hAnsi="Times New Roman" w:cs="Times New Roman"/>
          <w:b/>
          <w:sz w:val="24"/>
          <w:szCs w:val="24"/>
          <w:lang w:val="en-US"/>
        </w:rPr>
      </w:pPr>
    </w:p>
    <w:p w:rsidR="0050734A" w:rsidRPr="0050734A" w:rsidRDefault="0050734A" w:rsidP="00653A92">
      <w:pPr>
        <w:spacing w:after="0" w:line="360" w:lineRule="auto"/>
        <w:jc w:val="center"/>
        <w:rPr>
          <w:rFonts w:ascii="Times New Roman" w:hAnsi="Times New Roman" w:cs="Times New Roman"/>
          <w:b/>
          <w:sz w:val="24"/>
          <w:szCs w:val="24"/>
          <w:lang w:val="en-US"/>
        </w:rPr>
      </w:pPr>
      <w:r w:rsidRPr="0050734A">
        <w:rPr>
          <w:rFonts w:ascii="Times New Roman" w:hAnsi="Times New Roman" w:cs="Times New Roman"/>
          <w:b/>
          <w:sz w:val="24"/>
          <w:szCs w:val="24"/>
          <w:lang w:val="en-US"/>
        </w:rPr>
        <w:t>Party Banning and Party System Change</w:t>
      </w:r>
    </w:p>
    <w:p w:rsidR="0050734A" w:rsidRPr="0050734A" w:rsidRDefault="00653A92" w:rsidP="005073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Pr="0050734A">
        <w:rPr>
          <w:rFonts w:ascii="Times New Roman" w:hAnsi="Times New Roman" w:cs="Times New Roman"/>
          <w:sz w:val="24"/>
          <w:szCs w:val="24"/>
          <w:lang w:val="en-US"/>
        </w:rPr>
        <w:t xml:space="preserve">oth authoritarian and democratic regimes </w:t>
      </w:r>
      <w:r w:rsidR="0050734A" w:rsidRPr="0050734A">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long </w:t>
      </w:r>
      <w:r w:rsidR="0050734A" w:rsidRPr="0050734A">
        <w:rPr>
          <w:rFonts w:ascii="Times New Roman" w:hAnsi="Times New Roman" w:cs="Times New Roman"/>
          <w:sz w:val="24"/>
          <w:szCs w:val="24"/>
          <w:lang w:val="en-US"/>
        </w:rPr>
        <w:t>used party ban</w:t>
      </w:r>
      <w:r>
        <w:rPr>
          <w:rFonts w:ascii="Times New Roman" w:hAnsi="Times New Roman" w:cs="Times New Roman"/>
          <w:sz w:val="24"/>
          <w:szCs w:val="24"/>
          <w:lang w:val="en-US"/>
        </w:rPr>
        <w:t>s</w:t>
      </w:r>
      <w:r w:rsidR="0050734A" w:rsidRPr="0050734A">
        <w:rPr>
          <w:rFonts w:ascii="Times New Roman" w:hAnsi="Times New Roman" w:cs="Times New Roman"/>
          <w:sz w:val="24"/>
          <w:szCs w:val="24"/>
          <w:lang w:val="en-US"/>
        </w:rPr>
        <w:t xml:space="preserve"> to get rid of “undesirable” political formations</w:t>
      </w:r>
      <w:r>
        <w:rPr>
          <w:rFonts w:ascii="Times New Roman" w:hAnsi="Times New Roman" w:cs="Times New Roman"/>
          <w:sz w:val="24"/>
          <w:szCs w:val="24"/>
          <w:lang w:val="en-US"/>
        </w:rPr>
        <w:t>.</w:t>
      </w:r>
      <w:r w:rsidR="009531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w:t>
      </w:r>
      <w:r w:rsidR="0050734A" w:rsidRPr="0050734A">
        <w:rPr>
          <w:rFonts w:ascii="Times New Roman" w:hAnsi="Times New Roman" w:cs="Times New Roman"/>
          <w:sz w:val="24"/>
          <w:szCs w:val="24"/>
          <w:lang w:val="en-US"/>
        </w:rPr>
        <w:t xml:space="preserve">the study of its eventual impact on party system development and/or democratization </w:t>
      </w:r>
      <w:r>
        <w:rPr>
          <w:rFonts w:ascii="Times New Roman" w:hAnsi="Times New Roman" w:cs="Times New Roman"/>
          <w:sz w:val="24"/>
          <w:szCs w:val="24"/>
          <w:lang w:val="en-US"/>
        </w:rPr>
        <w:t xml:space="preserve">has, until very recently, </w:t>
      </w:r>
      <w:r w:rsidR="0050734A" w:rsidRPr="0050734A">
        <w:rPr>
          <w:rFonts w:ascii="Times New Roman" w:hAnsi="Times New Roman" w:cs="Times New Roman"/>
          <w:sz w:val="24"/>
          <w:szCs w:val="24"/>
          <w:lang w:val="en-US"/>
        </w:rPr>
        <w:t>received relatively little systematic and comparative scholarly attention</w:t>
      </w:r>
      <w:r w:rsidR="00650B55">
        <w:rPr>
          <w:rFonts w:ascii="Times New Roman" w:hAnsi="Times New Roman" w:cs="Times New Roman"/>
          <w:sz w:val="24"/>
          <w:szCs w:val="24"/>
          <w:lang w:val="en-US"/>
        </w:rPr>
        <w:t xml:space="preserve"> </w:t>
      </w:r>
      <w:r w:rsidR="0050734A" w:rsidRPr="0050734A">
        <w:rPr>
          <w:rFonts w:ascii="Times New Roman" w:hAnsi="Times New Roman" w:cs="Times New Roman"/>
          <w:sz w:val="24"/>
          <w:szCs w:val="24"/>
          <w:lang w:val="en-US"/>
        </w:rPr>
        <w:t xml:space="preserve">from either political scientists or lawyers (Bale, 2003; Bourne, 2012a; Casal </w:t>
      </w:r>
      <w:proofErr w:type="spellStart"/>
      <w:r w:rsidR="0050734A" w:rsidRPr="0050734A">
        <w:rPr>
          <w:rFonts w:ascii="Times New Roman" w:hAnsi="Times New Roman" w:cs="Times New Roman"/>
          <w:sz w:val="24"/>
          <w:szCs w:val="24"/>
          <w:lang w:val="en-US"/>
        </w:rPr>
        <w:t>Bértoa</w:t>
      </w:r>
      <w:proofErr w:type="spellEnd"/>
      <w:r w:rsidR="0050734A" w:rsidRPr="0050734A">
        <w:rPr>
          <w:rFonts w:ascii="Times New Roman" w:hAnsi="Times New Roman" w:cs="Times New Roman"/>
          <w:sz w:val="24"/>
          <w:szCs w:val="24"/>
          <w:lang w:val="en-US"/>
        </w:rPr>
        <w:t xml:space="preserve"> et al., 2014a).</w:t>
      </w:r>
      <w:r w:rsidR="0050734A" w:rsidRPr="0050734A">
        <w:rPr>
          <w:rStyle w:val="FootnoteReference"/>
          <w:rFonts w:ascii="Times New Roman" w:hAnsi="Times New Roman" w:cs="Times New Roman"/>
          <w:sz w:val="24"/>
          <w:szCs w:val="24"/>
          <w:lang w:val="en-US"/>
        </w:rPr>
        <w:footnoteReference w:id="2"/>
      </w:r>
    </w:p>
    <w:p w:rsidR="00653A92" w:rsidRDefault="00653A92" w:rsidP="0050734A">
      <w:pPr>
        <w:spacing w:after="0" w:line="360" w:lineRule="auto"/>
        <w:rPr>
          <w:rFonts w:ascii="Times New Roman" w:hAnsi="Times New Roman" w:cs="Times New Roman"/>
          <w:sz w:val="24"/>
          <w:szCs w:val="24"/>
          <w:lang w:val="en-US"/>
        </w:rPr>
      </w:pPr>
    </w:p>
    <w:p w:rsidR="0050734A" w:rsidRPr="0050734A" w:rsidRDefault="0050734A" w:rsidP="0050734A">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 xml:space="preserve">Departing from Casal </w:t>
      </w:r>
      <w:proofErr w:type="spellStart"/>
      <w:r w:rsidRPr="0050734A">
        <w:rPr>
          <w:rFonts w:ascii="Times New Roman" w:hAnsi="Times New Roman" w:cs="Times New Roman"/>
          <w:sz w:val="24"/>
          <w:szCs w:val="24"/>
          <w:lang w:val="en-US"/>
        </w:rPr>
        <w:t>Bértoa</w:t>
      </w:r>
      <w:proofErr w:type="spellEnd"/>
      <w:r w:rsidRPr="0050734A">
        <w:rPr>
          <w:rFonts w:ascii="Times New Roman" w:hAnsi="Times New Roman" w:cs="Times New Roman"/>
          <w:sz w:val="24"/>
          <w:szCs w:val="24"/>
          <w:lang w:val="en-US"/>
        </w:rPr>
        <w:t xml:space="preserve"> et al. (2014b: 3), and building on some of the party politics literature (</w:t>
      </w:r>
      <w:proofErr w:type="spellStart"/>
      <w:r w:rsidRPr="0050734A">
        <w:rPr>
          <w:rFonts w:ascii="Times New Roman" w:hAnsi="Times New Roman" w:cs="Times New Roman"/>
          <w:sz w:val="24"/>
          <w:szCs w:val="24"/>
          <w:lang w:val="en-US"/>
        </w:rPr>
        <w:t>Bartolini</w:t>
      </w:r>
      <w:proofErr w:type="spellEnd"/>
      <w:r w:rsidRPr="0050734A">
        <w:rPr>
          <w:rFonts w:ascii="Times New Roman" w:hAnsi="Times New Roman" w:cs="Times New Roman"/>
          <w:sz w:val="24"/>
          <w:szCs w:val="24"/>
          <w:lang w:val="en-US"/>
        </w:rPr>
        <w:t xml:space="preserve"> and </w:t>
      </w:r>
      <w:proofErr w:type="spellStart"/>
      <w:r w:rsidRPr="0050734A">
        <w:rPr>
          <w:rFonts w:ascii="Times New Roman" w:hAnsi="Times New Roman" w:cs="Times New Roman"/>
          <w:sz w:val="24"/>
          <w:szCs w:val="24"/>
          <w:lang w:val="en-US"/>
        </w:rPr>
        <w:t>Mair</w:t>
      </w:r>
      <w:proofErr w:type="spellEnd"/>
      <w:r w:rsidRPr="0050734A">
        <w:rPr>
          <w:rFonts w:ascii="Times New Roman" w:hAnsi="Times New Roman" w:cs="Times New Roman"/>
          <w:sz w:val="24"/>
          <w:szCs w:val="24"/>
          <w:lang w:val="en-US"/>
        </w:rPr>
        <w:t xml:space="preserve">, 1990; Hug, 2001; Casal </w:t>
      </w:r>
      <w:proofErr w:type="spellStart"/>
      <w:r w:rsidRPr="0050734A">
        <w:rPr>
          <w:rFonts w:ascii="Times New Roman" w:hAnsi="Times New Roman" w:cs="Times New Roman"/>
          <w:sz w:val="24"/>
          <w:szCs w:val="24"/>
          <w:lang w:val="en-US"/>
        </w:rPr>
        <w:t>Bértoa</w:t>
      </w:r>
      <w:proofErr w:type="spellEnd"/>
      <w:r w:rsidRPr="0050734A">
        <w:rPr>
          <w:rFonts w:ascii="Times New Roman" w:hAnsi="Times New Roman" w:cs="Times New Roman"/>
          <w:sz w:val="24"/>
          <w:szCs w:val="24"/>
          <w:lang w:val="en-US"/>
        </w:rPr>
        <w:t xml:space="preserve"> and </w:t>
      </w:r>
      <w:proofErr w:type="spellStart"/>
      <w:r w:rsidRPr="0050734A">
        <w:rPr>
          <w:rFonts w:ascii="Times New Roman" w:hAnsi="Times New Roman" w:cs="Times New Roman"/>
          <w:sz w:val="24"/>
          <w:szCs w:val="24"/>
          <w:lang w:val="en-US"/>
        </w:rPr>
        <w:t>Walecki</w:t>
      </w:r>
      <w:proofErr w:type="spellEnd"/>
      <w:r w:rsidRPr="0050734A">
        <w:rPr>
          <w:rFonts w:ascii="Times New Roman" w:hAnsi="Times New Roman" w:cs="Times New Roman"/>
          <w:sz w:val="24"/>
          <w:szCs w:val="24"/>
          <w:lang w:val="en-US"/>
        </w:rPr>
        <w:t xml:space="preserve">, forthcoming), it is possible to </w:t>
      </w:r>
      <w:r w:rsidRPr="0050734A">
        <w:rPr>
          <w:rFonts w:ascii="Times New Roman" w:hAnsi="Times New Roman" w:cs="Times New Roman"/>
          <w:sz w:val="24"/>
          <w:szCs w:val="24"/>
          <w:lang w:val="en-US"/>
        </w:rPr>
        <w:lastRenderedPageBreak/>
        <w:t>distinguish three ways</w:t>
      </w:r>
      <w:r w:rsidRPr="0050734A">
        <w:rPr>
          <w:rStyle w:val="FootnoteReference"/>
          <w:rFonts w:ascii="Times New Roman" w:hAnsi="Times New Roman" w:cs="Times New Roman"/>
          <w:sz w:val="24"/>
          <w:szCs w:val="24"/>
          <w:lang w:val="en-US"/>
        </w:rPr>
        <w:footnoteReference w:id="3"/>
      </w:r>
      <w:r w:rsidRPr="0050734A">
        <w:rPr>
          <w:rFonts w:ascii="Times New Roman" w:hAnsi="Times New Roman" w:cs="Times New Roman"/>
          <w:sz w:val="24"/>
          <w:szCs w:val="24"/>
          <w:lang w:val="en-US"/>
        </w:rPr>
        <w:t xml:space="preserve"> in which the banning of a party can have a (negative) systemic effect, affecting each of the different arenas of party competition: namely, electoral, parliamentary and governmental (</w:t>
      </w:r>
      <w:proofErr w:type="spellStart"/>
      <w:r w:rsidRPr="0050734A">
        <w:rPr>
          <w:rFonts w:ascii="Times New Roman" w:hAnsi="Times New Roman" w:cs="Times New Roman"/>
          <w:sz w:val="24"/>
          <w:szCs w:val="24"/>
          <w:lang w:val="en-US"/>
        </w:rPr>
        <w:t>Bardi</w:t>
      </w:r>
      <w:proofErr w:type="spellEnd"/>
      <w:r w:rsidRPr="0050734A">
        <w:rPr>
          <w:rFonts w:ascii="Times New Roman" w:hAnsi="Times New Roman" w:cs="Times New Roman"/>
          <w:sz w:val="24"/>
          <w:szCs w:val="24"/>
          <w:lang w:val="en-US"/>
        </w:rPr>
        <w:t xml:space="preserve"> and </w:t>
      </w:r>
      <w:proofErr w:type="spellStart"/>
      <w:r w:rsidRPr="0050734A">
        <w:rPr>
          <w:rFonts w:ascii="Times New Roman" w:hAnsi="Times New Roman" w:cs="Times New Roman"/>
          <w:sz w:val="24"/>
          <w:szCs w:val="24"/>
          <w:lang w:val="en-US"/>
        </w:rPr>
        <w:t>Mair</w:t>
      </w:r>
      <w:proofErr w:type="spellEnd"/>
      <w:r w:rsidRPr="0050734A">
        <w:rPr>
          <w:rFonts w:ascii="Times New Roman" w:hAnsi="Times New Roman" w:cs="Times New Roman"/>
          <w:sz w:val="24"/>
          <w:szCs w:val="24"/>
          <w:lang w:val="en-US"/>
        </w:rPr>
        <w:t>, 2008).</w:t>
      </w:r>
    </w:p>
    <w:p w:rsidR="00653A92" w:rsidRPr="00EA2DE1" w:rsidRDefault="00653A92" w:rsidP="00653A92">
      <w:pPr>
        <w:spacing w:after="0" w:line="360" w:lineRule="auto"/>
        <w:rPr>
          <w:rFonts w:ascii="Times New Roman" w:hAnsi="Times New Roman" w:cs="Times New Roman"/>
          <w:sz w:val="24"/>
          <w:szCs w:val="24"/>
          <w:lang w:val="en-US"/>
        </w:rPr>
      </w:pPr>
    </w:p>
    <w:p w:rsidR="00EA2DE1" w:rsidRPr="00EA2DE1" w:rsidRDefault="0050734A" w:rsidP="00EA2DE1">
      <w:pPr>
        <w:spacing w:after="0" w:line="360" w:lineRule="auto"/>
        <w:rPr>
          <w:rFonts w:ascii="Times New Roman" w:hAnsi="Times New Roman" w:cs="Times New Roman"/>
          <w:sz w:val="24"/>
          <w:szCs w:val="24"/>
          <w:lang w:val="en-US"/>
        </w:rPr>
      </w:pPr>
      <w:r w:rsidRPr="00EA2DE1">
        <w:rPr>
          <w:rFonts w:ascii="Times New Roman" w:hAnsi="Times New Roman" w:cs="Times New Roman"/>
          <w:sz w:val="24"/>
          <w:szCs w:val="24"/>
          <w:lang w:val="en-US"/>
        </w:rPr>
        <w:t xml:space="preserve">First of all, the judicial dissolution of a political party can have important effects for the stability of the voting preferences of the electorate. Thus, and similar to </w:t>
      </w:r>
      <w:proofErr w:type="spellStart"/>
      <w:r w:rsidRPr="00EA2DE1">
        <w:rPr>
          <w:rFonts w:ascii="Times New Roman" w:hAnsi="Times New Roman" w:cs="Times New Roman"/>
          <w:sz w:val="24"/>
          <w:szCs w:val="24"/>
          <w:lang w:val="en-US"/>
        </w:rPr>
        <w:t>Bartolini</w:t>
      </w:r>
      <w:proofErr w:type="spellEnd"/>
      <w:r w:rsidRPr="00EA2DE1">
        <w:rPr>
          <w:rFonts w:ascii="Times New Roman" w:hAnsi="Times New Roman" w:cs="Times New Roman"/>
          <w:sz w:val="24"/>
          <w:szCs w:val="24"/>
          <w:lang w:val="en-US"/>
        </w:rPr>
        <w:t xml:space="preserve"> and </w:t>
      </w:r>
      <w:proofErr w:type="spellStart"/>
      <w:r w:rsidRPr="00EA2DE1">
        <w:rPr>
          <w:rFonts w:ascii="Times New Roman" w:hAnsi="Times New Roman" w:cs="Times New Roman"/>
          <w:sz w:val="24"/>
          <w:szCs w:val="24"/>
          <w:lang w:val="en-US"/>
        </w:rPr>
        <w:t>Mair´s</w:t>
      </w:r>
      <w:proofErr w:type="spellEnd"/>
      <w:r w:rsidRPr="00EA2DE1">
        <w:rPr>
          <w:rFonts w:ascii="Times New Roman" w:hAnsi="Times New Roman" w:cs="Times New Roman"/>
          <w:sz w:val="24"/>
          <w:szCs w:val="24"/>
          <w:lang w:val="en-US"/>
        </w:rPr>
        <w:t xml:space="preserve"> (1990: 168) findings on the relationship between changes in turnout and electoral volatility, we would expect party ban</w:t>
      </w:r>
      <w:r w:rsidR="00650B55" w:rsidRPr="00EA2DE1">
        <w:rPr>
          <w:rFonts w:ascii="Times New Roman" w:hAnsi="Times New Roman" w:cs="Times New Roman"/>
          <w:sz w:val="24"/>
          <w:szCs w:val="24"/>
          <w:lang w:val="en-US"/>
        </w:rPr>
        <w:t>s</w:t>
      </w:r>
      <w:r w:rsidRPr="00EA2DE1">
        <w:rPr>
          <w:rFonts w:ascii="Times New Roman" w:hAnsi="Times New Roman" w:cs="Times New Roman"/>
          <w:sz w:val="24"/>
          <w:szCs w:val="24"/>
          <w:lang w:val="en-US"/>
        </w:rPr>
        <w:t xml:space="preserve"> to reduce electoral stability. The idea is that because the party of their preference is not an option at the time of voting, voters of the banned party will be “forced” either to exercise their right of abstention or simply to vote for another party. </w:t>
      </w:r>
      <w:proofErr w:type="gramStart"/>
      <w:r w:rsidRPr="00EA2DE1">
        <w:rPr>
          <w:rFonts w:ascii="Times New Roman" w:hAnsi="Times New Roman" w:cs="Times New Roman"/>
          <w:sz w:val="24"/>
          <w:szCs w:val="24"/>
          <w:lang w:val="en-US"/>
        </w:rPr>
        <w:t>The result in this case being an increase in the level of net electoral change.</w:t>
      </w:r>
      <w:proofErr w:type="gramEnd"/>
    </w:p>
    <w:p w:rsidR="00EA2DE1" w:rsidRDefault="00EA2DE1" w:rsidP="00653A92">
      <w:pPr>
        <w:spacing w:after="0" w:line="240" w:lineRule="auto"/>
        <w:rPr>
          <w:rFonts w:ascii="Times New Roman" w:hAnsi="Times New Roman" w:cs="Times New Roman"/>
          <w:sz w:val="24"/>
          <w:szCs w:val="24"/>
          <w:lang w:val="en-US"/>
        </w:rPr>
      </w:pPr>
    </w:p>
    <w:p w:rsidR="00653A92" w:rsidRPr="00EA2DE1" w:rsidRDefault="00EA2DE1" w:rsidP="00EA2DE1">
      <w:pPr>
        <w:spacing w:after="0" w:line="240" w:lineRule="auto"/>
        <w:jc w:val="center"/>
        <w:rPr>
          <w:rFonts w:ascii="Times New Roman" w:hAnsi="Times New Roman" w:cs="Times New Roman"/>
          <w:b/>
          <w:sz w:val="24"/>
          <w:szCs w:val="24"/>
          <w:lang w:val="en-US"/>
        </w:rPr>
      </w:pPr>
      <w:r w:rsidRPr="00EA2DE1">
        <w:rPr>
          <w:rFonts w:ascii="Times New Roman" w:hAnsi="Times New Roman" w:cs="Times New Roman"/>
          <w:b/>
          <w:sz w:val="24"/>
          <w:szCs w:val="24"/>
          <w:lang w:val="en-US"/>
        </w:rPr>
        <w:t xml:space="preserve">Table 3: </w:t>
      </w:r>
      <w:r w:rsidR="00653A92" w:rsidRPr="00EA2DE1">
        <w:rPr>
          <w:rFonts w:ascii="Times New Roman" w:hAnsi="Times New Roman" w:cs="Times New Roman"/>
          <w:b/>
          <w:sz w:val="24"/>
          <w:szCs w:val="24"/>
          <w:lang w:val="en-US"/>
        </w:rPr>
        <w:t>Theoretical example: electoral results in country X</w:t>
      </w:r>
    </w:p>
    <w:p w:rsidR="00EA2DE1" w:rsidRPr="00161C1B" w:rsidRDefault="00EA2DE1" w:rsidP="00653A92">
      <w:pPr>
        <w:spacing w:after="0" w:line="240" w:lineRule="auto"/>
        <w:rPr>
          <w:rFonts w:ascii="Times New Roman" w:hAnsi="Times New Roman" w:cs="Times New Roman"/>
          <w:sz w:val="24"/>
          <w:szCs w:val="24"/>
          <w:lang w:val="en-US"/>
        </w:rPr>
      </w:pPr>
    </w:p>
    <w:tbl>
      <w:tblPr>
        <w:tblStyle w:val="TableGrid"/>
        <w:tblW w:w="9747" w:type="dxa"/>
        <w:tblLayout w:type="fixed"/>
        <w:tblLook w:val="04A0" w:firstRow="1" w:lastRow="0" w:firstColumn="1" w:lastColumn="0" w:noHBand="0" w:noVBand="1"/>
      </w:tblPr>
      <w:tblGrid>
        <w:gridCol w:w="1809"/>
        <w:gridCol w:w="993"/>
        <w:gridCol w:w="992"/>
        <w:gridCol w:w="992"/>
        <w:gridCol w:w="992"/>
        <w:gridCol w:w="993"/>
        <w:gridCol w:w="992"/>
        <w:gridCol w:w="992"/>
        <w:gridCol w:w="992"/>
      </w:tblGrid>
      <w:tr w:rsidR="00653A92" w:rsidRPr="00161C1B" w:rsidTr="00895231">
        <w:tc>
          <w:tcPr>
            <w:tcW w:w="1809" w:type="dxa"/>
            <w:vMerge w:val="restart"/>
          </w:tcPr>
          <w:p w:rsidR="00653A92" w:rsidRPr="00161C1B" w:rsidRDefault="00653A92" w:rsidP="00895231">
            <w:pPr>
              <w:jc w:val="center"/>
              <w:rPr>
                <w:b/>
                <w:sz w:val="22"/>
                <w:szCs w:val="22"/>
                <w:lang w:val="en-US"/>
              </w:rPr>
            </w:pPr>
            <w:r w:rsidRPr="00161C1B">
              <w:rPr>
                <w:b/>
                <w:sz w:val="22"/>
                <w:szCs w:val="22"/>
                <w:lang w:val="en-US"/>
              </w:rPr>
              <w:t>Party</w:t>
            </w:r>
          </w:p>
        </w:tc>
        <w:tc>
          <w:tcPr>
            <w:tcW w:w="1985" w:type="dxa"/>
            <w:gridSpan w:val="2"/>
          </w:tcPr>
          <w:p w:rsidR="00653A92" w:rsidRPr="00161C1B" w:rsidRDefault="00653A92" w:rsidP="00895231">
            <w:pPr>
              <w:jc w:val="center"/>
              <w:rPr>
                <w:b/>
                <w:sz w:val="22"/>
                <w:szCs w:val="22"/>
                <w:lang w:val="en-US"/>
              </w:rPr>
            </w:pPr>
            <w:r w:rsidRPr="00161C1B">
              <w:rPr>
                <w:b/>
                <w:sz w:val="22"/>
                <w:szCs w:val="22"/>
                <w:lang w:val="en-US"/>
              </w:rPr>
              <w:t>Election 1</w:t>
            </w:r>
          </w:p>
        </w:tc>
        <w:tc>
          <w:tcPr>
            <w:tcW w:w="1984" w:type="dxa"/>
            <w:gridSpan w:val="2"/>
          </w:tcPr>
          <w:p w:rsidR="00653A92" w:rsidRPr="00161C1B" w:rsidRDefault="00653A92" w:rsidP="00895231">
            <w:pPr>
              <w:jc w:val="center"/>
              <w:rPr>
                <w:b/>
                <w:sz w:val="22"/>
                <w:szCs w:val="22"/>
                <w:lang w:val="en-US"/>
              </w:rPr>
            </w:pPr>
            <w:r w:rsidRPr="00161C1B">
              <w:rPr>
                <w:b/>
                <w:sz w:val="22"/>
                <w:szCs w:val="22"/>
                <w:lang w:val="en-US"/>
              </w:rPr>
              <w:t>Election 2</w:t>
            </w:r>
          </w:p>
        </w:tc>
        <w:tc>
          <w:tcPr>
            <w:tcW w:w="1985" w:type="dxa"/>
            <w:gridSpan w:val="2"/>
          </w:tcPr>
          <w:p w:rsidR="00653A92" w:rsidRPr="00161C1B" w:rsidRDefault="00653A92" w:rsidP="00895231">
            <w:pPr>
              <w:jc w:val="center"/>
              <w:rPr>
                <w:b/>
                <w:sz w:val="22"/>
                <w:szCs w:val="22"/>
                <w:lang w:val="en-US"/>
              </w:rPr>
            </w:pPr>
            <w:r w:rsidRPr="00161C1B">
              <w:rPr>
                <w:b/>
                <w:sz w:val="22"/>
                <w:szCs w:val="22"/>
                <w:lang w:val="en-US"/>
              </w:rPr>
              <w:t>Election 3</w:t>
            </w:r>
          </w:p>
        </w:tc>
        <w:tc>
          <w:tcPr>
            <w:tcW w:w="1984" w:type="dxa"/>
            <w:gridSpan w:val="2"/>
          </w:tcPr>
          <w:p w:rsidR="00653A92" w:rsidRPr="00161C1B" w:rsidRDefault="00653A92" w:rsidP="00895231">
            <w:pPr>
              <w:jc w:val="center"/>
              <w:rPr>
                <w:b/>
                <w:sz w:val="22"/>
                <w:szCs w:val="22"/>
                <w:lang w:val="en-US"/>
              </w:rPr>
            </w:pPr>
            <w:r w:rsidRPr="00161C1B">
              <w:rPr>
                <w:b/>
                <w:sz w:val="22"/>
                <w:szCs w:val="22"/>
                <w:lang w:val="en-US"/>
              </w:rPr>
              <w:t>Election 4</w:t>
            </w:r>
          </w:p>
        </w:tc>
      </w:tr>
      <w:tr w:rsidR="00653A92" w:rsidRPr="00161C1B" w:rsidTr="00895231">
        <w:tc>
          <w:tcPr>
            <w:tcW w:w="1809" w:type="dxa"/>
            <w:vMerge/>
          </w:tcPr>
          <w:p w:rsidR="00653A92" w:rsidRPr="00161C1B" w:rsidRDefault="00653A92" w:rsidP="00895231">
            <w:pPr>
              <w:jc w:val="center"/>
              <w:rPr>
                <w:b/>
                <w:sz w:val="22"/>
                <w:szCs w:val="22"/>
                <w:lang w:val="en-US"/>
              </w:rPr>
            </w:pPr>
          </w:p>
        </w:tc>
        <w:tc>
          <w:tcPr>
            <w:tcW w:w="993" w:type="dxa"/>
          </w:tcPr>
          <w:p w:rsidR="00653A92" w:rsidRPr="00161C1B" w:rsidRDefault="00653A92" w:rsidP="00895231">
            <w:pPr>
              <w:jc w:val="center"/>
              <w:rPr>
                <w:i/>
                <w:sz w:val="22"/>
                <w:szCs w:val="22"/>
                <w:lang w:val="en-US"/>
              </w:rPr>
            </w:pPr>
            <w:r w:rsidRPr="00161C1B">
              <w:rPr>
                <w:i/>
                <w:sz w:val="22"/>
                <w:szCs w:val="22"/>
                <w:lang w:val="en-US"/>
              </w:rPr>
              <w:t>% votes</w:t>
            </w:r>
          </w:p>
        </w:tc>
        <w:tc>
          <w:tcPr>
            <w:tcW w:w="992" w:type="dxa"/>
          </w:tcPr>
          <w:p w:rsidR="00653A92" w:rsidRPr="00161C1B" w:rsidRDefault="00653A92" w:rsidP="00895231">
            <w:pPr>
              <w:jc w:val="center"/>
              <w:rPr>
                <w:i/>
                <w:sz w:val="22"/>
                <w:szCs w:val="22"/>
                <w:lang w:val="en-US"/>
              </w:rPr>
            </w:pPr>
            <w:r w:rsidRPr="00161C1B">
              <w:rPr>
                <w:i/>
                <w:sz w:val="22"/>
                <w:szCs w:val="22"/>
                <w:lang w:val="en-US"/>
              </w:rPr>
              <w:t>% seats</w:t>
            </w:r>
          </w:p>
        </w:tc>
        <w:tc>
          <w:tcPr>
            <w:tcW w:w="992" w:type="dxa"/>
          </w:tcPr>
          <w:p w:rsidR="00653A92" w:rsidRPr="00161C1B" w:rsidRDefault="00653A92" w:rsidP="00895231">
            <w:pPr>
              <w:jc w:val="center"/>
              <w:rPr>
                <w:i/>
                <w:sz w:val="22"/>
                <w:szCs w:val="22"/>
                <w:lang w:val="en-US"/>
              </w:rPr>
            </w:pPr>
            <w:r w:rsidRPr="00161C1B">
              <w:rPr>
                <w:i/>
                <w:sz w:val="22"/>
                <w:szCs w:val="22"/>
                <w:lang w:val="en-US"/>
              </w:rPr>
              <w:t>% votes</w:t>
            </w:r>
          </w:p>
        </w:tc>
        <w:tc>
          <w:tcPr>
            <w:tcW w:w="992" w:type="dxa"/>
          </w:tcPr>
          <w:p w:rsidR="00653A92" w:rsidRPr="00161C1B" w:rsidRDefault="00653A92" w:rsidP="00895231">
            <w:pPr>
              <w:jc w:val="center"/>
              <w:rPr>
                <w:i/>
                <w:sz w:val="22"/>
                <w:szCs w:val="22"/>
                <w:lang w:val="en-US"/>
              </w:rPr>
            </w:pPr>
            <w:r w:rsidRPr="00161C1B">
              <w:rPr>
                <w:i/>
                <w:sz w:val="22"/>
                <w:szCs w:val="22"/>
                <w:lang w:val="en-US"/>
              </w:rPr>
              <w:t>% seats</w:t>
            </w:r>
          </w:p>
        </w:tc>
        <w:tc>
          <w:tcPr>
            <w:tcW w:w="993" w:type="dxa"/>
          </w:tcPr>
          <w:p w:rsidR="00653A92" w:rsidRPr="00161C1B" w:rsidRDefault="00653A92" w:rsidP="00895231">
            <w:pPr>
              <w:jc w:val="center"/>
              <w:rPr>
                <w:i/>
                <w:sz w:val="22"/>
                <w:szCs w:val="22"/>
                <w:lang w:val="en-US"/>
              </w:rPr>
            </w:pPr>
            <w:r w:rsidRPr="00161C1B">
              <w:rPr>
                <w:i/>
                <w:sz w:val="22"/>
                <w:szCs w:val="22"/>
                <w:lang w:val="en-US"/>
              </w:rPr>
              <w:t>% votes</w:t>
            </w:r>
          </w:p>
        </w:tc>
        <w:tc>
          <w:tcPr>
            <w:tcW w:w="992" w:type="dxa"/>
          </w:tcPr>
          <w:p w:rsidR="00653A92" w:rsidRPr="00161C1B" w:rsidRDefault="00653A92" w:rsidP="00895231">
            <w:pPr>
              <w:jc w:val="center"/>
              <w:rPr>
                <w:i/>
                <w:sz w:val="22"/>
                <w:szCs w:val="22"/>
                <w:lang w:val="en-US"/>
              </w:rPr>
            </w:pPr>
            <w:r w:rsidRPr="00161C1B">
              <w:rPr>
                <w:i/>
                <w:sz w:val="22"/>
                <w:szCs w:val="22"/>
                <w:lang w:val="en-US"/>
              </w:rPr>
              <w:t>% seats</w:t>
            </w:r>
          </w:p>
        </w:tc>
        <w:tc>
          <w:tcPr>
            <w:tcW w:w="992" w:type="dxa"/>
          </w:tcPr>
          <w:p w:rsidR="00653A92" w:rsidRPr="00161C1B" w:rsidRDefault="00653A92" w:rsidP="00895231">
            <w:pPr>
              <w:jc w:val="center"/>
              <w:rPr>
                <w:i/>
                <w:sz w:val="22"/>
                <w:szCs w:val="22"/>
                <w:lang w:val="en-US"/>
              </w:rPr>
            </w:pPr>
            <w:r w:rsidRPr="00161C1B">
              <w:rPr>
                <w:i/>
                <w:sz w:val="22"/>
                <w:szCs w:val="22"/>
                <w:lang w:val="en-US"/>
              </w:rPr>
              <w:t>% votes</w:t>
            </w:r>
          </w:p>
        </w:tc>
        <w:tc>
          <w:tcPr>
            <w:tcW w:w="992" w:type="dxa"/>
          </w:tcPr>
          <w:p w:rsidR="00653A92" w:rsidRPr="00161C1B" w:rsidRDefault="00653A92" w:rsidP="00895231">
            <w:pPr>
              <w:jc w:val="center"/>
              <w:rPr>
                <w:i/>
                <w:sz w:val="22"/>
                <w:szCs w:val="22"/>
                <w:lang w:val="en-US"/>
              </w:rPr>
            </w:pPr>
            <w:r w:rsidRPr="00161C1B">
              <w:rPr>
                <w:i/>
                <w:sz w:val="22"/>
                <w:szCs w:val="22"/>
                <w:lang w:val="en-US"/>
              </w:rPr>
              <w:t>% seats</w:t>
            </w:r>
          </w:p>
        </w:tc>
      </w:tr>
      <w:tr w:rsidR="00653A92" w:rsidRPr="00161C1B" w:rsidTr="00895231">
        <w:tc>
          <w:tcPr>
            <w:tcW w:w="1809" w:type="dxa"/>
          </w:tcPr>
          <w:p w:rsidR="00653A92" w:rsidRPr="00161C1B" w:rsidRDefault="00653A92" w:rsidP="00895231">
            <w:pPr>
              <w:jc w:val="center"/>
              <w:rPr>
                <w:i/>
                <w:sz w:val="22"/>
                <w:szCs w:val="22"/>
                <w:lang w:val="en-US"/>
              </w:rPr>
            </w:pPr>
            <w:r w:rsidRPr="00161C1B">
              <w:rPr>
                <w:i/>
                <w:sz w:val="22"/>
                <w:szCs w:val="22"/>
                <w:lang w:val="en-US"/>
              </w:rPr>
              <w:t>A (communists)</w:t>
            </w:r>
          </w:p>
        </w:tc>
        <w:tc>
          <w:tcPr>
            <w:tcW w:w="993" w:type="dxa"/>
          </w:tcPr>
          <w:p w:rsidR="00653A92" w:rsidRPr="00161C1B" w:rsidRDefault="00653A92" w:rsidP="00895231">
            <w:pPr>
              <w:jc w:val="center"/>
              <w:rPr>
                <w:sz w:val="22"/>
                <w:szCs w:val="22"/>
                <w:lang w:val="en-US"/>
              </w:rPr>
            </w:pPr>
            <w:r w:rsidRPr="00161C1B">
              <w:rPr>
                <w:sz w:val="22"/>
                <w:szCs w:val="22"/>
                <w:lang w:val="en-US"/>
              </w:rPr>
              <w:t>35</w:t>
            </w:r>
          </w:p>
        </w:tc>
        <w:tc>
          <w:tcPr>
            <w:tcW w:w="992" w:type="dxa"/>
          </w:tcPr>
          <w:p w:rsidR="00653A92" w:rsidRPr="00161C1B" w:rsidRDefault="00653A92" w:rsidP="00895231">
            <w:pPr>
              <w:jc w:val="center"/>
              <w:rPr>
                <w:sz w:val="22"/>
                <w:szCs w:val="22"/>
                <w:lang w:val="en-US"/>
              </w:rPr>
            </w:pPr>
            <w:r w:rsidRPr="00161C1B">
              <w:rPr>
                <w:sz w:val="22"/>
                <w:szCs w:val="22"/>
                <w:lang w:val="en-US"/>
              </w:rPr>
              <w:t>40</w:t>
            </w:r>
          </w:p>
        </w:tc>
        <w:tc>
          <w:tcPr>
            <w:tcW w:w="992" w:type="dxa"/>
          </w:tcPr>
          <w:p w:rsidR="00653A92" w:rsidRPr="00161C1B" w:rsidRDefault="00653A92" w:rsidP="00895231">
            <w:pPr>
              <w:jc w:val="center"/>
              <w:rPr>
                <w:sz w:val="22"/>
                <w:szCs w:val="22"/>
                <w:lang w:val="en-US"/>
              </w:rPr>
            </w:pPr>
            <w:r w:rsidRPr="00161C1B">
              <w:rPr>
                <w:sz w:val="22"/>
                <w:szCs w:val="22"/>
                <w:lang w:val="en-US"/>
              </w:rPr>
              <w:t>50</w:t>
            </w:r>
          </w:p>
        </w:tc>
        <w:tc>
          <w:tcPr>
            <w:tcW w:w="992" w:type="dxa"/>
          </w:tcPr>
          <w:p w:rsidR="00653A92" w:rsidRPr="00161C1B" w:rsidRDefault="00653A92" w:rsidP="00895231">
            <w:pPr>
              <w:jc w:val="center"/>
              <w:rPr>
                <w:sz w:val="22"/>
                <w:szCs w:val="22"/>
                <w:lang w:val="en-US"/>
              </w:rPr>
            </w:pPr>
            <w:r w:rsidRPr="00161C1B">
              <w:rPr>
                <w:sz w:val="22"/>
                <w:szCs w:val="22"/>
                <w:lang w:val="en-US"/>
              </w:rPr>
              <w:t>55</w:t>
            </w:r>
          </w:p>
        </w:tc>
        <w:tc>
          <w:tcPr>
            <w:tcW w:w="993" w:type="dxa"/>
          </w:tcPr>
          <w:p w:rsidR="00653A92" w:rsidRPr="00161C1B" w:rsidRDefault="00653A92" w:rsidP="00895231">
            <w:pPr>
              <w:jc w:val="center"/>
              <w:rPr>
                <w:sz w:val="22"/>
                <w:szCs w:val="22"/>
                <w:lang w:val="en-US"/>
              </w:rPr>
            </w:pPr>
            <w:r w:rsidRPr="00161C1B">
              <w:rPr>
                <w:sz w:val="22"/>
                <w:szCs w:val="22"/>
                <w:lang w:val="en-US"/>
              </w:rPr>
              <w:t>45</w:t>
            </w:r>
          </w:p>
        </w:tc>
        <w:tc>
          <w:tcPr>
            <w:tcW w:w="992" w:type="dxa"/>
          </w:tcPr>
          <w:p w:rsidR="00653A92" w:rsidRPr="00161C1B" w:rsidRDefault="00653A92" w:rsidP="00895231">
            <w:pPr>
              <w:jc w:val="center"/>
              <w:rPr>
                <w:sz w:val="22"/>
                <w:szCs w:val="22"/>
                <w:lang w:val="en-US"/>
              </w:rPr>
            </w:pPr>
            <w:r w:rsidRPr="00161C1B">
              <w:rPr>
                <w:sz w:val="22"/>
                <w:szCs w:val="22"/>
                <w:lang w:val="en-US"/>
              </w:rPr>
              <w:t>50</w:t>
            </w:r>
          </w:p>
        </w:tc>
        <w:tc>
          <w:tcPr>
            <w:tcW w:w="992" w:type="dxa"/>
          </w:tcPr>
          <w:p w:rsidR="00653A92" w:rsidRPr="00161C1B" w:rsidRDefault="00653A92" w:rsidP="00895231">
            <w:pPr>
              <w:jc w:val="center"/>
              <w:rPr>
                <w:sz w:val="22"/>
                <w:szCs w:val="22"/>
                <w:lang w:val="en-US"/>
              </w:rPr>
            </w:pPr>
            <w:r w:rsidRPr="00161C1B">
              <w:rPr>
                <w:sz w:val="22"/>
                <w:szCs w:val="22"/>
                <w:lang w:val="en-US"/>
              </w:rPr>
              <w:t>30</w:t>
            </w:r>
          </w:p>
        </w:tc>
        <w:tc>
          <w:tcPr>
            <w:tcW w:w="992" w:type="dxa"/>
          </w:tcPr>
          <w:p w:rsidR="00653A92" w:rsidRPr="00161C1B" w:rsidRDefault="00653A92" w:rsidP="00895231">
            <w:pPr>
              <w:jc w:val="center"/>
              <w:rPr>
                <w:sz w:val="22"/>
                <w:szCs w:val="22"/>
                <w:lang w:val="en-US"/>
              </w:rPr>
            </w:pPr>
            <w:r w:rsidRPr="00161C1B">
              <w:rPr>
                <w:sz w:val="22"/>
                <w:szCs w:val="22"/>
                <w:lang w:val="en-US"/>
              </w:rPr>
              <w:t>33</w:t>
            </w:r>
          </w:p>
        </w:tc>
      </w:tr>
      <w:tr w:rsidR="00653A92" w:rsidRPr="00161C1B" w:rsidTr="00895231">
        <w:tc>
          <w:tcPr>
            <w:tcW w:w="1809" w:type="dxa"/>
          </w:tcPr>
          <w:p w:rsidR="00653A92" w:rsidRPr="00161C1B" w:rsidRDefault="00653A92" w:rsidP="00895231">
            <w:pPr>
              <w:jc w:val="center"/>
              <w:rPr>
                <w:i/>
                <w:sz w:val="22"/>
                <w:szCs w:val="22"/>
                <w:lang w:val="en-US"/>
              </w:rPr>
            </w:pPr>
            <w:r w:rsidRPr="00161C1B">
              <w:rPr>
                <w:i/>
                <w:sz w:val="22"/>
                <w:szCs w:val="22"/>
                <w:lang w:val="en-US"/>
              </w:rPr>
              <w:t>B (liberals)</w:t>
            </w:r>
          </w:p>
        </w:tc>
        <w:tc>
          <w:tcPr>
            <w:tcW w:w="993" w:type="dxa"/>
          </w:tcPr>
          <w:p w:rsidR="00653A92" w:rsidRPr="00161C1B" w:rsidRDefault="00653A92" w:rsidP="00895231">
            <w:pPr>
              <w:jc w:val="center"/>
              <w:rPr>
                <w:sz w:val="22"/>
                <w:szCs w:val="22"/>
                <w:lang w:val="en-US"/>
              </w:rPr>
            </w:pPr>
            <w:r w:rsidRPr="00161C1B">
              <w:rPr>
                <w:sz w:val="22"/>
                <w:szCs w:val="22"/>
                <w:lang w:val="en-US"/>
              </w:rPr>
              <w:t>25</w:t>
            </w:r>
          </w:p>
        </w:tc>
        <w:tc>
          <w:tcPr>
            <w:tcW w:w="992" w:type="dxa"/>
          </w:tcPr>
          <w:p w:rsidR="00653A92" w:rsidRPr="00161C1B" w:rsidRDefault="00653A92" w:rsidP="00895231">
            <w:pPr>
              <w:jc w:val="center"/>
              <w:rPr>
                <w:sz w:val="22"/>
                <w:szCs w:val="22"/>
                <w:lang w:val="en-US"/>
              </w:rPr>
            </w:pPr>
            <w:r w:rsidRPr="00161C1B">
              <w:rPr>
                <w:sz w:val="22"/>
                <w:szCs w:val="22"/>
                <w:lang w:val="en-US"/>
              </w:rPr>
              <w:t>31</w:t>
            </w:r>
          </w:p>
        </w:tc>
        <w:tc>
          <w:tcPr>
            <w:tcW w:w="992" w:type="dxa"/>
          </w:tcPr>
          <w:p w:rsidR="00653A92" w:rsidRPr="00161C1B" w:rsidRDefault="00653A92" w:rsidP="00895231">
            <w:pPr>
              <w:jc w:val="center"/>
              <w:rPr>
                <w:sz w:val="22"/>
                <w:szCs w:val="22"/>
                <w:lang w:val="en-US"/>
              </w:rPr>
            </w:pPr>
            <w:r w:rsidRPr="00161C1B">
              <w:rPr>
                <w:sz w:val="22"/>
                <w:szCs w:val="22"/>
                <w:lang w:val="en-US"/>
              </w:rPr>
              <w:t>40</w:t>
            </w:r>
          </w:p>
        </w:tc>
        <w:tc>
          <w:tcPr>
            <w:tcW w:w="992" w:type="dxa"/>
          </w:tcPr>
          <w:p w:rsidR="00653A92" w:rsidRPr="00161C1B" w:rsidRDefault="00653A92" w:rsidP="00895231">
            <w:pPr>
              <w:jc w:val="center"/>
              <w:rPr>
                <w:sz w:val="22"/>
                <w:szCs w:val="22"/>
                <w:lang w:val="en-US"/>
              </w:rPr>
            </w:pPr>
            <w:r w:rsidRPr="00161C1B">
              <w:rPr>
                <w:sz w:val="22"/>
                <w:szCs w:val="22"/>
                <w:lang w:val="en-US"/>
              </w:rPr>
              <w:t>40</w:t>
            </w:r>
          </w:p>
        </w:tc>
        <w:tc>
          <w:tcPr>
            <w:tcW w:w="993" w:type="dxa"/>
          </w:tcPr>
          <w:p w:rsidR="00653A92" w:rsidRPr="00161C1B" w:rsidRDefault="00653A92" w:rsidP="00895231">
            <w:pPr>
              <w:jc w:val="center"/>
              <w:rPr>
                <w:sz w:val="22"/>
                <w:szCs w:val="22"/>
                <w:lang w:val="en-US"/>
              </w:rPr>
            </w:pPr>
            <w:r w:rsidRPr="00161C1B">
              <w:rPr>
                <w:sz w:val="22"/>
                <w:szCs w:val="22"/>
                <w:lang w:val="en-US"/>
              </w:rPr>
              <w:t>40</w:t>
            </w:r>
          </w:p>
        </w:tc>
        <w:tc>
          <w:tcPr>
            <w:tcW w:w="992" w:type="dxa"/>
          </w:tcPr>
          <w:p w:rsidR="00653A92" w:rsidRPr="00161C1B" w:rsidRDefault="00653A92" w:rsidP="00895231">
            <w:pPr>
              <w:jc w:val="center"/>
              <w:rPr>
                <w:sz w:val="22"/>
                <w:szCs w:val="22"/>
                <w:lang w:val="en-US"/>
              </w:rPr>
            </w:pPr>
            <w:r w:rsidRPr="00161C1B">
              <w:rPr>
                <w:sz w:val="22"/>
                <w:szCs w:val="22"/>
                <w:lang w:val="en-US"/>
              </w:rPr>
              <w:t>40</w:t>
            </w:r>
          </w:p>
        </w:tc>
        <w:tc>
          <w:tcPr>
            <w:tcW w:w="992" w:type="dxa"/>
          </w:tcPr>
          <w:p w:rsidR="00653A92" w:rsidRPr="00161C1B" w:rsidRDefault="00653A92" w:rsidP="00895231">
            <w:pPr>
              <w:jc w:val="center"/>
              <w:rPr>
                <w:sz w:val="22"/>
                <w:szCs w:val="22"/>
                <w:lang w:val="en-US"/>
              </w:rPr>
            </w:pPr>
            <w:r w:rsidRPr="00161C1B">
              <w:rPr>
                <w:sz w:val="22"/>
                <w:szCs w:val="22"/>
                <w:lang w:val="en-US"/>
              </w:rPr>
              <w:t>36</w:t>
            </w:r>
          </w:p>
        </w:tc>
        <w:tc>
          <w:tcPr>
            <w:tcW w:w="992" w:type="dxa"/>
          </w:tcPr>
          <w:p w:rsidR="00653A92" w:rsidRPr="00161C1B" w:rsidRDefault="00653A92" w:rsidP="00895231">
            <w:pPr>
              <w:jc w:val="center"/>
              <w:rPr>
                <w:sz w:val="22"/>
                <w:szCs w:val="22"/>
                <w:lang w:val="en-US"/>
              </w:rPr>
            </w:pPr>
            <w:r w:rsidRPr="00161C1B">
              <w:rPr>
                <w:sz w:val="22"/>
                <w:szCs w:val="22"/>
                <w:lang w:val="en-US"/>
              </w:rPr>
              <w:t>40</w:t>
            </w:r>
          </w:p>
        </w:tc>
      </w:tr>
      <w:tr w:rsidR="00653A92" w:rsidRPr="00161C1B" w:rsidTr="00895231">
        <w:tc>
          <w:tcPr>
            <w:tcW w:w="1809" w:type="dxa"/>
          </w:tcPr>
          <w:p w:rsidR="00653A92" w:rsidRPr="00161C1B" w:rsidRDefault="00653A92" w:rsidP="00895231">
            <w:pPr>
              <w:jc w:val="center"/>
              <w:rPr>
                <w:i/>
                <w:sz w:val="22"/>
                <w:szCs w:val="22"/>
                <w:lang w:val="en-US"/>
              </w:rPr>
            </w:pPr>
            <w:r w:rsidRPr="00161C1B">
              <w:rPr>
                <w:i/>
                <w:sz w:val="22"/>
                <w:szCs w:val="22"/>
                <w:lang w:val="en-US"/>
              </w:rPr>
              <w:t>C (ethnic)</w:t>
            </w:r>
          </w:p>
        </w:tc>
        <w:tc>
          <w:tcPr>
            <w:tcW w:w="993" w:type="dxa"/>
          </w:tcPr>
          <w:p w:rsidR="00653A92" w:rsidRPr="00161C1B" w:rsidRDefault="00653A92" w:rsidP="00895231">
            <w:pPr>
              <w:jc w:val="center"/>
              <w:rPr>
                <w:sz w:val="22"/>
                <w:szCs w:val="22"/>
                <w:lang w:val="en-US"/>
              </w:rPr>
            </w:pPr>
            <w:r w:rsidRPr="00161C1B">
              <w:rPr>
                <w:sz w:val="22"/>
                <w:szCs w:val="22"/>
                <w:lang w:val="en-US"/>
              </w:rPr>
              <w:t>20</w:t>
            </w:r>
          </w:p>
        </w:tc>
        <w:tc>
          <w:tcPr>
            <w:tcW w:w="992" w:type="dxa"/>
          </w:tcPr>
          <w:p w:rsidR="00653A92" w:rsidRPr="00161C1B" w:rsidRDefault="00653A92" w:rsidP="00895231">
            <w:pPr>
              <w:jc w:val="center"/>
              <w:rPr>
                <w:sz w:val="22"/>
                <w:szCs w:val="22"/>
                <w:lang w:val="en-US"/>
              </w:rPr>
            </w:pPr>
            <w:r w:rsidRPr="00161C1B">
              <w:rPr>
                <w:sz w:val="22"/>
                <w:szCs w:val="22"/>
                <w:lang w:val="en-US"/>
              </w:rPr>
              <w:t>20</w:t>
            </w:r>
          </w:p>
        </w:tc>
        <w:tc>
          <w:tcPr>
            <w:tcW w:w="992" w:type="dxa"/>
          </w:tcPr>
          <w:p w:rsidR="00653A92" w:rsidRPr="00161C1B" w:rsidRDefault="00653A92" w:rsidP="00895231">
            <w:pPr>
              <w:jc w:val="center"/>
              <w:rPr>
                <w:sz w:val="22"/>
                <w:szCs w:val="22"/>
                <w:lang w:val="en-US"/>
              </w:rPr>
            </w:pPr>
            <w:r w:rsidRPr="00161C1B">
              <w:rPr>
                <w:sz w:val="22"/>
                <w:szCs w:val="22"/>
                <w:lang w:val="en-US"/>
              </w:rPr>
              <w:t>Banned</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c>
          <w:tcPr>
            <w:tcW w:w="993" w:type="dxa"/>
          </w:tcPr>
          <w:p w:rsidR="00653A92" w:rsidRPr="00161C1B" w:rsidRDefault="00653A92" w:rsidP="00895231">
            <w:pPr>
              <w:jc w:val="center"/>
              <w:rPr>
                <w:sz w:val="22"/>
                <w:szCs w:val="22"/>
                <w:lang w:val="en-US"/>
              </w:rPr>
            </w:pPr>
            <w:r w:rsidRPr="00161C1B">
              <w:rPr>
                <w:sz w:val="22"/>
                <w:szCs w:val="22"/>
                <w:lang w:val="en-US"/>
              </w:rPr>
              <w:t>Banned</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c>
          <w:tcPr>
            <w:tcW w:w="992" w:type="dxa"/>
          </w:tcPr>
          <w:p w:rsidR="00653A92" w:rsidRPr="00161C1B" w:rsidRDefault="00653A92" w:rsidP="00895231">
            <w:pPr>
              <w:jc w:val="center"/>
              <w:rPr>
                <w:sz w:val="22"/>
                <w:szCs w:val="22"/>
                <w:lang w:val="en-US"/>
              </w:rPr>
            </w:pPr>
            <w:r w:rsidRPr="00161C1B">
              <w:rPr>
                <w:sz w:val="22"/>
                <w:szCs w:val="22"/>
                <w:lang w:val="en-US"/>
              </w:rPr>
              <w:t>22</w:t>
            </w:r>
          </w:p>
        </w:tc>
        <w:tc>
          <w:tcPr>
            <w:tcW w:w="992" w:type="dxa"/>
          </w:tcPr>
          <w:p w:rsidR="00653A92" w:rsidRPr="00161C1B" w:rsidRDefault="00653A92" w:rsidP="00895231">
            <w:pPr>
              <w:jc w:val="center"/>
              <w:rPr>
                <w:sz w:val="22"/>
                <w:szCs w:val="22"/>
                <w:lang w:val="en-US"/>
              </w:rPr>
            </w:pPr>
            <w:r w:rsidRPr="00161C1B">
              <w:rPr>
                <w:sz w:val="22"/>
                <w:szCs w:val="22"/>
                <w:lang w:val="en-US"/>
              </w:rPr>
              <w:t>17</w:t>
            </w:r>
          </w:p>
        </w:tc>
      </w:tr>
      <w:tr w:rsidR="00653A92" w:rsidRPr="00161C1B" w:rsidTr="00895231">
        <w:tc>
          <w:tcPr>
            <w:tcW w:w="1809" w:type="dxa"/>
          </w:tcPr>
          <w:p w:rsidR="00653A92" w:rsidRPr="00161C1B" w:rsidRDefault="00653A92" w:rsidP="00895231">
            <w:pPr>
              <w:jc w:val="center"/>
              <w:rPr>
                <w:i/>
                <w:sz w:val="22"/>
                <w:szCs w:val="22"/>
                <w:lang w:val="en-US"/>
              </w:rPr>
            </w:pPr>
            <w:r w:rsidRPr="00161C1B">
              <w:rPr>
                <w:i/>
                <w:sz w:val="22"/>
                <w:szCs w:val="22"/>
                <w:lang w:val="en-US"/>
              </w:rPr>
              <w:t>D (conservatives)</w:t>
            </w:r>
          </w:p>
        </w:tc>
        <w:tc>
          <w:tcPr>
            <w:tcW w:w="993" w:type="dxa"/>
          </w:tcPr>
          <w:p w:rsidR="00653A92" w:rsidRPr="00161C1B" w:rsidRDefault="00653A92" w:rsidP="00895231">
            <w:pPr>
              <w:jc w:val="center"/>
              <w:rPr>
                <w:sz w:val="22"/>
                <w:szCs w:val="22"/>
                <w:lang w:val="en-US"/>
              </w:rPr>
            </w:pPr>
            <w:r w:rsidRPr="00161C1B">
              <w:rPr>
                <w:sz w:val="22"/>
                <w:szCs w:val="22"/>
                <w:lang w:val="en-US"/>
              </w:rPr>
              <w:t>15</w:t>
            </w:r>
          </w:p>
        </w:tc>
        <w:tc>
          <w:tcPr>
            <w:tcW w:w="992" w:type="dxa"/>
          </w:tcPr>
          <w:p w:rsidR="00653A92" w:rsidRPr="00161C1B" w:rsidRDefault="00653A92" w:rsidP="00895231">
            <w:pPr>
              <w:jc w:val="center"/>
              <w:rPr>
                <w:sz w:val="22"/>
                <w:szCs w:val="22"/>
                <w:lang w:val="en-US"/>
              </w:rPr>
            </w:pPr>
            <w:r w:rsidRPr="00161C1B">
              <w:rPr>
                <w:sz w:val="22"/>
                <w:szCs w:val="22"/>
                <w:lang w:val="en-US"/>
              </w:rPr>
              <w:t>9</w:t>
            </w:r>
          </w:p>
        </w:tc>
        <w:tc>
          <w:tcPr>
            <w:tcW w:w="992" w:type="dxa"/>
          </w:tcPr>
          <w:p w:rsidR="00653A92" w:rsidRPr="00161C1B" w:rsidRDefault="00653A92" w:rsidP="00895231">
            <w:pPr>
              <w:jc w:val="center"/>
              <w:rPr>
                <w:sz w:val="22"/>
                <w:szCs w:val="22"/>
                <w:lang w:val="en-US"/>
              </w:rPr>
            </w:pPr>
            <w:r w:rsidRPr="00161C1B">
              <w:rPr>
                <w:sz w:val="22"/>
                <w:szCs w:val="22"/>
                <w:lang w:val="en-US"/>
              </w:rPr>
              <w:t>5</w:t>
            </w:r>
          </w:p>
        </w:tc>
        <w:tc>
          <w:tcPr>
            <w:tcW w:w="992" w:type="dxa"/>
          </w:tcPr>
          <w:p w:rsidR="00653A92" w:rsidRPr="00161C1B" w:rsidRDefault="00653A92" w:rsidP="00895231">
            <w:pPr>
              <w:jc w:val="center"/>
              <w:rPr>
                <w:sz w:val="22"/>
                <w:szCs w:val="22"/>
                <w:lang w:val="en-US"/>
              </w:rPr>
            </w:pPr>
            <w:r w:rsidRPr="00161C1B">
              <w:rPr>
                <w:sz w:val="22"/>
                <w:szCs w:val="22"/>
                <w:lang w:val="en-US"/>
              </w:rPr>
              <w:t>5</w:t>
            </w:r>
          </w:p>
        </w:tc>
        <w:tc>
          <w:tcPr>
            <w:tcW w:w="993" w:type="dxa"/>
          </w:tcPr>
          <w:p w:rsidR="00653A92" w:rsidRPr="00161C1B" w:rsidRDefault="00653A92" w:rsidP="00895231">
            <w:pPr>
              <w:jc w:val="center"/>
              <w:rPr>
                <w:sz w:val="22"/>
                <w:szCs w:val="22"/>
                <w:lang w:val="en-US"/>
              </w:rPr>
            </w:pPr>
            <w:r w:rsidRPr="00161C1B">
              <w:rPr>
                <w:sz w:val="22"/>
                <w:szCs w:val="22"/>
                <w:lang w:val="en-US"/>
              </w:rPr>
              <w:t>11</w:t>
            </w:r>
          </w:p>
        </w:tc>
        <w:tc>
          <w:tcPr>
            <w:tcW w:w="992" w:type="dxa"/>
          </w:tcPr>
          <w:p w:rsidR="00653A92" w:rsidRPr="00161C1B" w:rsidRDefault="00653A92" w:rsidP="00895231">
            <w:pPr>
              <w:jc w:val="center"/>
              <w:rPr>
                <w:sz w:val="22"/>
                <w:szCs w:val="22"/>
                <w:lang w:val="en-US"/>
              </w:rPr>
            </w:pPr>
            <w:r w:rsidRPr="00161C1B">
              <w:rPr>
                <w:sz w:val="22"/>
                <w:szCs w:val="22"/>
                <w:lang w:val="en-US"/>
              </w:rPr>
              <w:t>10</w:t>
            </w:r>
          </w:p>
        </w:tc>
        <w:tc>
          <w:tcPr>
            <w:tcW w:w="992" w:type="dxa"/>
          </w:tcPr>
          <w:p w:rsidR="00653A92" w:rsidRPr="00161C1B" w:rsidRDefault="00653A92" w:rsidP="00895231">
            <w:pPr>
              <w:jc w:val="center"/>
              <w:rPr>
                <w:sz w:val="22"/>
                <w:szCs w:val="22"/>
                <w:lang w:val="en-US"/>
              </w:rPr>
            </w:pPr>
            <w:r w:rsidRPr="00161C1B">
              <w:rPr>
                <w:sz w:val="22"/>
                <w:szCs w:val="22"/>
                <w:lang w:val="en-US"/>
              </w:rPr>
              <w:t>9</w:t>
            </w:r>
          </w:p>
        </w:tc>
        <w:tc>
          <w:tcPr>
            <w:tcW w:w="992" w:type="dxa"/>
          </w:tcPr>
          <w:p w:rsidR="00653A92" w:rsidRPr="00161C1B" w:rsidRDefault="00653A92" w:rsidP="00895231">
            <w:pPr>
              <w:jc w:val="center"/>
              <w:rPr>
                <w:sz w:val="22"/>
                <w:szCs w:val="22"/>
                <w:lang w:val="en-US"/>
              </w:rPr>
            </w:pPr>
            <w:r w:rsidRPr="00161C1B">
              <w:rPr>
                <w:sz w:val="22"/>
                <w:szCs w:val="22"/>
                <w:lang w:val="en-US"/>
              </w:rPr>
              <w:t>10</w:t>
            </w:r>
          </w:p>
        </w:tc>
      </w:tr>
      <w:tr w:rsidR="00653A92" w:rsidRPr="00161C1B" w:rsidTr="00895231">
        <w:tc>
          <w:tcPr>
            <w:tcW w:w="1809" w:type="dxa"/>
          </w:tcPr>
          <w:p w:rsidR="00653A92" w:rsidRPr="00161C1B" w:rsidRDefault="00653A92" w:rsidP="00895231">
            <w:pPr>
              <w:jc w:val="center"/>
              <w:rPr>
                <w:i/>
                <w:sz w:val="22"/>
                <w:szCs w:val="22"/>
                <w:lang w:val="en-US"/>
              </w:rPr>
            </w:pPr>
            <w:r w:rsidRPr="00161C1B">
              <w:rPr>
                <w:i/>
                <w:sz w:val="22"/>
                <w:szCs w:val="22"/>
                <w:lang w:val="en-US"/>
              </w:rPr>
              <w:t>E (religious)</w:t>
            </w:r>
          </w:p>
        </w:tc>
        <w:tc>
          <w:tcPr>
            <w:tcW w:w="993" w:type="dxa"/>
          </w:tcPr>
          <w:p w:rsidR="00653A92" w:rsidRPr="00161C1B" w:rsidRDefault="00653A92" w:rsidP="00895231">
            <w:pPr>
              <w:jc w:val="center"/>
              <w:rPr>
                <w:sz w:val="22"/>
                <w:szCs w:val="22"/>
                <w:lang w:val="en-US"/>
              </w:rPr>
            </w:pPr>
            <w:r w:rsidRPr="00161C1B">
              <w:rPr>
                <w:sz w:val="22"/>
                <w:szCs w:val="22"/>
                <w:lang w:val="en-US"/>
              </w:rPr>
              <w:t>3</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c>
          <w:tcPr>
            <w:tcW w:w="992" w:type="dxa"/>
          </w:tcPr>
          <w:p w:rsidR="00653A92" w:rsidRPr="00161C1B" w:rsidRDefault="00653A92" w:rsidP="00895231">
            <w:pPr>
              <w:jc w:val="center"/>
              <w:rPr>
                <w:sz w:val="22"/>
                <w:szCs w:val="22"/>
                <w:lang w:val="en-US"/>
              </w:rPr>
            </w:pPr>
            <w:r w:rsidRPr="00161C1B">
              <w:rPr>
                <w:sz w:val="22"/>
                <w:szCs w:val="22"/>
                <w:lang w:val="en-US"/>
              </w:rPr>
              <w:t>3</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c>
          <w:tcPr>
            <w:tcW w:w="993" w:type="dxa"/>
          </w:tcPr>
          <w:p w:rsidR="00653A92" w:rsidRPr="00161C1B" w:rsidRDefault="00653A92" w:rsidP="00895231">
            <w:pPr>
              <w:jc w:val="center"/>
              <w:rPr>
                <w:sz w:val="22"/>
                <w:szCs w:val="22"/>
                <w:lang w:val="en-US"/>
              </w:rPr>
            </w:pPr>
            <w:r w:rsidRPr="00161C1B">
              <w:rPr>
                <w:sz w:val="22"/>
                <w:szCs w:val="22"/>
                <w:lang w:val="en-US"/>
              </w:rPr>
              <w:t>Banned</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c>
          <w:tcPr>
            <w:tcW w:w="992" w:type="dxa"/>
          </w:tcPr>
          <w:p w:rsidR="00653A92" w:rsidRPr="00161C1B" w:rsidRDefault="00653A92" w:rsidP="00895231">
            <w:pPr>
              <w:jc w:val="center"/>
              <w:rPr>
                <w:sz w:val="22"/>
                <w:szCs w:val="22"/>
                <w:lang w:val="en-US"/>
              </w:rPr>
            </w:pPr>
            <w:r w:rsidRPr="00161C1B">
              <w:rPr>
                <w:sz w:val="22"/>
                <w:szCs w:val="22"/>
                <w:lang w:val="en-US"/>
              </w:rPr>
              <w:t>Banned</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r>
      <w:tr w:rsidR="00653A92" w:rsidRPr="00161C1B" w:rsidTr="00895231">
        <w:tc>
          <w:tcPr>
            <w:tcW w:w="1809" w:type="dxa"/>
          </w:tcPr>
          <w:p w:rsidR="00653A92" w:rsidRPr="00161C1B" w:rsidRDefault="00653A92" w:rsidP="00895231">
            <w:pPr>
              <w:jc w:val="center"/>
              <w:rPr>
                <w:i/>
                <w:sz w:val="22"/>
                <w:szCs w:val="22"/>
                <w:lang w:val="en-US"/>
              </w:rPr>
            </w:pPr>
            <w:r w:rsidRPr="00161C1B">
              <w:rPr>
                <w:i/>
                <w:sz w:val="22"/>
                <w:szCs w:val="22"/>
                <w:lang w:val="en-US"/>
              </w:rPr>
              <w:t>F (greens)</w:t>
            </w:r>
          </w:p>
        </w:tc>
        <w:tc>
          <w:tcPr>
            <w:tcW w:w="993" w:type="dxa"/>
          </w:tcPr>
          <w:p w:rsidR="00653A92" w:rsidRPr="00161C1B" w:rsidRDefault="00653A92" w:rsidP="00895231">
            <w:pPr>
              <w:jc w:val="center"/>
              <w:rPr>
                <w:sz w:val="22"/>
                <w:szCs w:val="22"/>
                <w:lang w:val="en-US"/>
              </w:rPr>
            </w:pPr>
            <w:r w:rsidRPr="00161C1B">
              <w:rPr>
                <w:sz w:val="22"/>
                <w:szCs w:val="22"/>
                <w:lang w:val="en-US"/>
              </w:rPr>
              <w:t>2</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c>
          <w:tcPr>
            <w:tcW w:w="992" w:type="dxa"/>
          </w:tcPr>
          <w:p w:rsidR="00653A92" w:rsidRPr="00161C1B" w:rsidRDefault="00653A92" w:rsidP="00895231">
            <w:pPr>
              <w:jc w:val="center"/>
              <w:rPr>
                <w:sz w:val="22"/>
                <w:szCs w:val="22"/>
                <w:lang w:val="en-US"/>
              </w:rPr>
            </w:pPr>
            <w:r w:rsidRPr="00161C1B">
              <w:rPr>
                <w:sz w:val="22"/>
                <w:szCs w:val="22"/>
                <w:lang w:val="en-US"/>
              </w:rPr>
              <w:t>2</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c>
          <w:tcPr>
            <w:tcW w:w="993" w:type="dxa"/>
          </w:tcPr>
          <w:p w:rsidR="00653A92" w:rsidRPr="00161C1B" w:rsidRDefault="00653A92" w:rsidP="00895231">
            <w:pPr>
              <w:jc w:val="center"/>
              <w:rPr>
                <w:sz w:val="22"/>
                <w:szCs w:val="22"/>
                <w:lang w:val="en-US"/>
              </w:rPr>
            </w:pPr>
            <w:r w:rsidRPr="00161C1B">
              <w:rPr>
                <w:sz w:val="22"/>
                <w:szCs w:val="22"/>
                <w:lang w:val="en-US"/>
              </w:rPr>
              <w:t>4</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c>
          <w:tcPr>
            <w:tcW w:w="992" w:type="dxa"/>
          </w:tcPr>
          <w:p w:rsidR="00653A92" w:rsidRPr="00161C1B" w:rsidRDefault="00653A92" w:rsidP="00895231">
            <w:pPr>
              <w:jc w:val="center"/>
              <w:rPr>
                <w:sz w:val="22"/>
                <w:szCs w:val="22"/>
                <w:lang w:val="en-US"/>
              </w:rPr>
            </w:pPr>
            <w:r w:rsidRPr="00161C1B">
              <w:rPr>
                <w:sz w:val="22"/>
                <w:szCs w:val="22"/>
                <w:lang w:val="en-US"/>
              </w:rPr>
              <w:t>3</w:t>
            </w:r>
          </w:p>
        </w:tc>
        <w:tc>
          <w:tcPr>
            <w:tcW w:w="992" w:type="dxa"/>
          </w:tcPr>
          <w:p w:rsidR="00653A92" w:rsidRPr="00161C1B" w:rsidRDefault="00653A92" w:rsidP="00895231">
            <w:pPr>
              <w:jc w:val="center"/>
              <w:rPr>
                <w:sz w:val="22"/>
                <w:szCs w:val="22"/>
                <w:lang w:val="en-US"/>
              </w:rPr>
            </w:pPr>
            <w:r w:rsidRPr="00161C1B">
              <w:rPr>
                <w:sz w:val="22"/>
                <w:szCs w:val="22"/>
                <w:lang w:val="en-US"/>
              </w:rPr>
              <w:t>-</w:t>
            </w:r>
          </w:p>
        </w:tc>
      </w:tr>
      <w:tr w:rsidR="00653A92" w:rsidRPr="00161C1B" w:rsidTr="00895231">
        <w:tc>
          <w:tcPr>
            <w:tcW w:w="1809" w:type="dxa"/>
          </w:tcPr>
          <w:p w:rsidR="00653A92" w:rsidRPr="00161C1B" w:rsidRDefault="00653A92" w:rsidP="00895231">
            <w:pPr>
              <w:jc w:val="center"/>
              <w:rPr>
                <w:b/>
                <w:sz w:val="22"/>
                <w:szCs w:val="22"/>
                <w:lang w:val="en-US"/>
              </w:rPr>
            </w:pPr>
            <w:r w:rsidRPr="00161C1B">
              <w:rPr>
                <w:b/>
                <w:sz w:val="22"/>
                <w:szCs w:val="22"/>
                <w:lang w:val="en-US"/>
              </w:rPr>
              <w:t>TEV</w:t>
            </w:r>
          </w:p>
        </w:tc>
        <w:tc>
          <w:tcPr>
            <w:tcW w:w="1985" w:type="dxa"/>
            <w:gridSpan w:val="2"/>
          </w:tcPr>
          <w:p w:rsidR="00653A92" w:rsidRPr="00161C1B" w:rsidRDefault="00653A92" w:rsidP="00895231">
            <w:pPr>
              <w:jc w:val="center"/>
              <w:rPr>
                <w:sz w:val="22"/>
                <w:szCs w:val="22"/>
                <w:lang w:val="en-US"/>
              </w:rPr>
            </w:pPr>
            <w:r w:rsidRPr="00161C1B">
              <w:rPr>
                <w:sz w:val="22"/>
                <w:szCs w:val="22"/>
                <w:lang w:val="en-US"/>
              </w:rPr>
              <w:t>n/a</w:t>
            </w:r>
          </w:p>
        </w:tc>
        <w:tc>
          <w:tcPr>
            <w:tcW w:w="1984" w:type="dxa"/>
            <w:gridSpan w:val="2"/>
          </w:tcPr>
          <w:p w:rsidR="00653A92" w:rsidRPr="00161C1B" w:rsidRDefault="00653A92" w:rsidP="00895231">
            <w:pPr>
              <w:jc w:val="center"/>
              <w:rPr>
                <w:sz w:val="22"/>
                <w:szCs w:val="22"/>
                <w:lang w:val="en-US"/>
              </w:rPr>
            </w:pPr>
            <w:r w:rsidRPr="00161C1B">
              <w:rPr>
                <w:sz w:val="22"/>
                <w:szCs w:val="22"/>
                <w:lang w:val="en-US"/>
              </w:rPr>
              <w:t>30</w:t>
            </w:r>
          </w:p>
        </w:tc>
        <w:tc>
          <w:tcPr>
            <w:tcW w:w="1985" w:type="dxa"/>
            <w:gridSpan w:val="2"/>
          </w:tcPr>
          <w:p w:rsidR="00653A92" w:rsidRPr="00161C1B" w:rsidRDefault="00653A92" w:rsidP="00895231">
            <w:pPr>
              <w:jc w:val="center"/>
              <w:rPr>
                <w:sz w:val="22"/>
                <w:szCs w:val="22"/>
                <w:lang w:val="en-US"/>
              </w:rPr>
            </w:pPr>
            <w:r w:rsidRPr="00161C1B">
              <w:rPr>
                <w:sz w:val="22"/>
                <w:szCs w:val="22"/>
                <w:lang w:val="en-US"/>
              </w:rPr>
              <w:t>8</w:t>
            </w:r>
          </w:p>
        </w:tc>
        <w:tc>
          <w:tcPr>
            <w:tcW w:w="1984" w:type="dxa"/>
            <w:gridSpan w:val="2"/>
          </w:tcPr>
          <w:p w:rsidR="00653A92" w:rsidRPr="00161C1B" w:rsidRDefault="00653A92" w:rsidP="00895231">
            <w:pPr>
              <w:jc w:val="center"/>
              <w:rPr>
                <w:sz w:val="22"/>
                <w:szCs w:val="22"/>
                <w:lang w:val="en-US"/>
              </w:rPr>
            </w:pPr>
            <w:r w:rsidRPr="00161C1B">
              <w:rPr>
                <w:sz w:val="22"/>
                <w:szCs w:val="22"/>
                <w:lang w:val="en-US"/>
              </w:rPr>
              <w:t>22</w:t>
            </w:r>
          </w:p>
        </w:tc>
      </w:tr>
      <w:tr w:rsidR="00653A92" w:rsidRPr="00161C1B" w:rsidTr="00895231">
        <w:tc>
          <w:tcPr>
            <w:tcW w:w="1809" w:type="dxa"/>
          </w:tcPr>
          <w:p w:rsidR="00653A92" w:rsidRPr="00161C1B" w:rsidRDefault="00653A92" w:rsidP="00895231">
            <w:pPr>
              <w:jc w:val="center"/>
              <w:rPr>
                <w:b/>
                <w:sz w:val="22"/>
                <w:szCs w:val="22"/>
                <w:lang w:val="en-US"/>
              </w:rPr>
            </w:pPr>
            <w:r w:rsidRPr="00161C1B">
              <w:rPr>
                <w:b/>
                <w:sz w:val="22"/>
                <w:szCs w:val="22"/>
                <w:lang w:val="en-US"/>
              </w:rPr>
              <w:t>ENEP</w:t>
            </w:r>
          </w:p>
        </w:tc>
        <w:tc>
          <w:tcPr>
            <w:tcW w:w="1985" w:type="dxa"/>
            <w:gridSpan w:val="2"/>
          </w:tcPr>
          <w:p w:rsidR="00653A92" w:rsidRPr="00161C1B" w:rsidRDefault="00653A92" w:rsidP="00895231">
            <w:pPr>
              <w:jc w:val="center"/>
              <w:rPr>
                <w:sz w:val="22"/>
                <w:szCs w:val="22"/>
                <w:lang w:val="en-US"/>
              </w:rPr>
            </w:pPr>
            <w:r w:rsidRPr="00161C1B">
              <w:rPr>
                <w:sz w:val="22"/>
                <w:szCs w:val="22"/>
                <w:lang w:val="en-US"/>
              </w:rPr>
              <w:t>4.0</w:t>
            </w:r>
          </w:p>
        </w:tc>
        <w:tc>
          <w:tcPr>
            <w:tcW w:w="1984" w:type="dxa"/>
            <w:gridSpan w:val="2"/>
          </w:tcPr>
          <w:p w:rsidR="00653A92" w:rsidRPr="00161C1B" w:rsidRDefault="00653A92" w:rsidP="00895231">
            <w:pPr>
              <w:jc w:val="center"/>
              <w:rPr>
                <w:sz w:val="22"/>
                <w:szCs w:val="22"/>
                <w:lang w:val="en-US"/>
              </w:rPr>
            </w:pPr>
            <w:r w:rsidRPr="00161C1B">
              <w:rPr>
                <w:sz w:val="22"/>
                <w:szCs w:val="22"/>
                <w:lang w:val="en-US"/>
              </w:rPr>
              <w:t>2.4</w:t>
            </w:r>
          </w:p>
        </w:tc>
        <w:tc>
          <w:tcPr>
            <w:tcW w:w="1985" w:type="dxa"/>
            <w:gridSpan w:val="2"/>
          </w:tcPr>
          <w:p w:rsidR="00653A92" w:rsidRPr="00161C1B" w:rsidRDefault="00653A92" w:rsidP="00895231">
            <w:pPr>
              <w:jc w:val="center"/>
              <w:rPr>
                <w:sz w:val="22"/>
                <w:szCs w:val="22"/>
                <w:lang w:val="en-US"/>
              </w:rPr>
            </w:pPr>
            <w:r w:rsidRPr="00161C1B">
              <w:rPr>
                <w:sz w:val="22"/>
                <w:szCs w:val="22"/>
                <w:lang w:val="en-US"/>
              </w:rPr>
              <w:t>2.7</w:t>
            </w:r>
          </w:p>
        </w:tc>
        <w:tc>
          <w:tcPr>
            <w:tcW w:w="1984" w:type="dxa"/>
            <w:gridSpan w:val="2"/>
          </w:tcPr>
          <w:p w:rsidR="00653A92" w:rsidRPr="00161C1B" w:rsidRDefault="00653A92" w:rsidP="00895231">
            <w:pPr>
              <w:jc w:val="center"/>
              <w:rPr>
                <w:sz w:val="22"/>
                <w:szCs w:val="22"/>
                <w:lang w:val="en-US"/>
              </w:rPr>
            </w:pPr>
            <w:r w:rsidRPr="00161C1B">
              <w:rPr>
                <w:sz w:val="22"/>
                <w:szCs w:val="22"/>
                <w:lang w:val="en-US"/>
              </w:rPr>
              <w:t>3.6</w:t>
            </w:r>
          </w:p>
        </w:tc>
      </w:tr>
      <w:tr w:rsidR="00653A92" w:rsidRPr="00161C1B" w:rsidTr="00895231">
        <w:tc>
          <w:tcPr>
            <w:tcW w:w="1809" w:type="dxa"/>
          </w:tcPr>
          <w:p w:rsidR="00653A92" w:rsidRPr="00161C1B" w:rsidRDefault="00653A92" w:rsidP="00895231">
            <w:pPr>
              <w:jc w:val="center"/>
              <w:rPr>
                <w:b/>
                <w:sz w:val="22"/>
                <w:szCs w:val="22"/>
                <w:lang w:val="en-US"/>
              </w:rPr>
            </w:pPr>
            <w:r w:rsidRPr="00161C1B">
              <w:rPr>
                <w:b/>
                <w:sz w:val="22"/>
                <w:szCs w:val="22"/>
                <w:lang w:val="en-US"/>
              </w:rPr>
              <w:t>ENPP</w:t>
            </w:r>
          </w:p>
        </w:tc>
        <w:tc>
          <w:tcPr>
            <w:tcW w:w="1985" w:type="dxa"/>
            <w:gridSpan w:val="2"/>
          </w:tcPr>
          <w:p w:rsidR="00653A92" w:rsidRPr="00161C1B" w:rsidRDefault="00653A92" w:rsidP="00895231">
            <w:pPr>
              <w:jc w:val="center"/>
              <w:rPr>
                <w:sz w:val="22"/>
                <w:szCs w:val="22"/>
                <w:lang w:val="en-US"/>
              </w:rPr>
            </w:pPr>
            <w:r w:rsidRPr="00161C1B">
              <w:rPr>
                <w:sz w:val="22"/>
                <w:szCs w:val="22"/>
                <w:lang w:val="en-US"/>
              </w:rPr>
              <w:t>3.3</w:t>
            </w:r>
          </w:p>
        </w:tc>
        <w:tc>
          <w:tcPr>
            <w:tcW w:w="1984" w:type="dxa"/>
            <w:gridSpan w:val="2"/>
          </w:tcPr>
          <w:p w:rsidR="00653A92" w:rsidRPr="00161C1B" w:rsidRDefault="00653A92" w:rsidP="00895231">
            <w:pPr>
              <w:jc w:val="center"/>
              <w:rPr>
                <w:sz w:val="22"/>
                <w:szCs w:val="22"/>
                <w:lang w:val="en-US"/>
              </w:rPr>
            </w:pPr>
            <w:r w:rsidRPr="00161C1B">
              <w:rPr>
                <w:sz w:val="22"/>
                <w:szCs w:val="22"/>
                <w:lang w:val="en-US"/>
              </w:rPr>
              <w:t>2.2</w:t>
            </w:r>
          </w:p>
        </w:tc>
        <w:tc>
          <w:tcPr>
            <w:tcW w:w="1985" w:type="dxa"/>
            <w:gridSpan w:val="2"/>
          </w:tcPr>
          <w:p w:rsidR="00653A92" w:rsidRPr="00161C1B" w:rsidRDefault="00653A92" w:rsidP="00895231">
            <w:pPr>
              <w:jc w:val="center"/>
              <w:rPr>
                <w:sz w:val="22"/>
                <w:szCs w:val="22"/>
                <w:lang w:val="en-US"/>
              </w:rPr>
            </w:pPr>
            <w:r w:rsidRPr="00161C1B">
              <w:rPr>
                <w:sz w:val="22"/>
                <w:szCs w:val="22"/>
                <w:lang w:val="en-US"/>
              </w:rPr>
              <w:t>2.4</w:t>
            </w:r>
          </w:p>
        </w:tc>
        <w:tc>
          <w:tcPr>
            <w:tcW w:w="1984" w:type="dxa"/>
            <w:gridSpan w:val="2"/>
          </w:tcPr>
          <w:p w:rsidR="00653A92" w:rsidRPr="00161C1B" w:rsidRDefault="00653A92" w:rsidP="00895231">
            <w:pPr>
              <w:jc w:val="center"/>
              <w:rPr>
                <w:sz w:val="22"/>
                <w:szCs w:val="22"/>
                <w:lang w:val="en-US"/>
              </w:rPr>
            </w:pPr>
            <w:r w:rsidRPr="00161C1B">
              <w:rPr>
                <w:sz w:val="22"/>
                <w:szCs w:val="22"/>
                <w:lang w:val="en-US"/>
              </w:rPr>
              <w:t>3.2</w:t>
            </w:r>
          </w:p>
        </w:tc>
      </w:tr>
      <w:tr w:rsidR="00653A92" w:rsidRPr="00161C1B" w:rsidTr="00895231">
        <w:tc>
          <w:tcPr>
            <w:tcW w:w="1809" w:type="dxa"/>
          </w:tcPr>
          <w:p w:rsidR="00653A92" w:rsidRPr="00161C1B" w:rsidRDefault="00653A92" w:rsidP="00895231">
            <w:pPr>
              <w:jc w:val="center"/>
              <w:rPr>
                <w:b/>
                <w:sz w:val="22"/>
                <w:szCs w:val="22"/>
                <w:lang w:val="en-US"/>
              </w:rPr>
            </w:pPr>
            <w:r w:rsidRPr="00161C1B">
              <w:rPr>
                <w:b/>
                <w:sz w:val="22"/>
                <w:szCs w:val="22"/>
                <w:lang w:val="en-US"/>
              </w:rPr>
              <w:t>Cabinet</w:t>
            </w:r>
          </w:p>
        </w:tc>
        <w:tc>
          <w:tcPr>
            <w:tcW w:w="1985" w:type="dxa"/>
            <w:gridSpan w:val="2"/>
          </w:tcPr>
          <w:p w:rsidR="00653A92" w:rsidRPr="00161C1B" w:rsidRDefault="00653A92" w:rsidP="00895231">
            <w:pPr>
              <w:jc w:val="center"/>
              <w:rPr>
                <w:sz w:val="22"/>
                <w:szCs w:val="22"/>
                <w:lang w:val="en-US"/>
              </w:rPr>
            </w:pPr>
            <w:r w:rsidRPr="00161C1B">
              <w:rPr>
                <w:sz w:val="22"/>
                <w:szCs w:val="22"/>
                <w:lang w:val="en-US"/>
              </w:rPr>
              <w:t>B-C</w:t>
            </w:r>
          </w:p>
        </w:tc>
        <w:tc>
          <w:tcPr>
            <w:tcW w:w="1984" w:type="dxa"/>
            <w:gridSpan w:val="2"/>
          </w:tcPr>
          <w:p w:rsidR="00653A92" w:rsidRPr="00161C1B" w:rsidRDefault="00653A92" w:rsidP="00895231">
            <w:pPr>
              <w:jc w:val="center"/>
              <w:rPr>
                <w:sz w:val="22"/>
                <w:szCs w:val="22"/>
                <w:lang w:val="en-US"/>
              </w:rPr>
            </w:pPr>
            <w:r w:rsidRPr="00161C1B">
              <w:rPr>
                <w:sz w:val="22"/>
                <w:szCs w:val="22"/>
                <w:lang w:val="en-US"/>
              </w:rPr>
              <w:t>A</w:t>
            </w:r>
          </w:p>
        </w:tc>
        <w:tc>
          <w:tcPr>
            <w:tcW w:w="1985" w:type="dxa"/>
            <w:gridSpan w:val="2"/>
          </w:tcPr>
          <w:p w:rsidR="00653A92" w:rsidRPr="00161C1B" w:rsidRDefault="00653A92" w:rsidP="00895231">
            <w:pPr>
              <w:jc w:val="center"/>
              <w:rPr>
                <w:sz w:val="22"/>
                <w:szCs w:val="22"/>
                <w:lang w:val="en-US"/>
              </w:rPr>
            </w:pPr>
            <w:r w:rsidRPr="00161C1B">
              <w:rPr>
                <w:sz w:val="22"/>
                <w:szCs w:val="22"/>
                <w:lang w:val="en-US"/>
              </w:rPr>
              <w:t>B-D</w:t>
            </w:r>
          </w:p>
        </w:tc>
        <w:tc>
          <w:tcPr>
            <w:tcW w:w="1984" w:type="dxa"/>
            <w:gridSpan w:val="2"/>
          </w:tcPr>
          <w:p w:rsidR="00653A92" w:rsidRPr="00161C1B" w:rsidRDefault="00653A92" w:rsidP="00895231">
            <w:pPr>
              <w:jc w:val="center"/>
              <w:rPr>
                <w:sz w:val="22"/>
                <w:szCs w:val="22"/>
                <w:lang w:val="en-US"/>
              </w:rPr>
            </w:pPr>
            <w:r w:rsidRPr="00161C1B">
              <w:rPr>
                <w:sz w:val="22"/>
                <w:szCs w:val="22"/>
                <w:lang w:val="en-US"/>
              </w:rPr>
              <w:t>B-C</w:t>
            </w:r>
          </w:p>
        </w:tc>
      </w:tr>
    </w:tbl>
    <w:p w:rsidR="00653A92" w:rsidRDefault="00653A92" w:rsidP="0050734A">
      <w:pPr>
        <w:spacing w:after="0" w:line="360" w:lineRule="auto"/>
        <w:rPr>
          <w:rFonts w:ascii="Times New Roman" w:hAnsi="Times New Roman" w:cs="Times New Roman"/>
          <w:sz w:val="24"/>
          <w:szCs w:val="24"/>
          <w:lang w:val="en-US"/>
        </w:rPr>
      </w:pPr>
    </w:p>
    <w:p w:rsidR="00653A92" w:rsidRDefault="00653A92" w:rsidP="0050734A">
      <w:pPr>
        <w:spacing w:after="0" w:line="360" w:lineRule="auto"/>
        <w:rPr>
          <w:rFonts w:ascii="Times New Roman" w:hAnsi="Times New Roman" w:cs="Times New Roman"/>
          <w:sz w:val="24"/>
          <w:szCs w:val="24"/>
          <w:lang w:val="en-US"/>
        </w:rPr>
      </w:pPr>
    </w:p>
    <w:p w:rsidR="0050734A" w:rsidRPr="0050734A" w:rsidRDefault="0050734A" w:rsidP="0050734A">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 xml:space="preserve">Table </w:t>
      </w:r>
      <w:r w:rsidR="00EA2DE1">
        <w:rPr>
          <w:rFonts w:ascii="Times New Roman" w:hAnsi="Times New Roman" w:cs="Times New Roman"/>
          <w:sz w:val="24"/>
          <w:szCs w:val="24"/>
          <w:lang w:val="en-US"/>
        </w:rPr>
        <w:t>3</w:t>
      </w:r>
      <w:r w:rsidRPr="0050734A">
        <w:rPr>
          <w:rFonts w:ascii="Times New Roman" w:hAnsi="Times New Roman" w:cs="Times New Roman"/>
          <w:sz w:val="24"/>
          <w:szCs w:val="24"/>
          <w:lang w:val="en-US"/>
        </w:rPr>
        <w:t xml:space="preserve"> displays the electoral results of different political forces in a “hypothetical” country X. While in election 1 all six registered parties are allowed to participate, party C (ethnic-based) is dissolved by the Constitutional Court shortly before the second election</w:t>
      </w:r>
      <w:r w:rsidR="00650B55">
        <w:rPr>
          <w:rFonts w:ascii="Times New Roman" w:hAnsi="Times New Roman" w:cs="Times New Roman"/>
          <w:sz w:val="24"/>
          <w:szCs w:val="24"/>
          <w:lang w:val="en-US"/>
        </w:rPr>
        <w:t xml:space="preserve">. This leads </w:t>
      </w:r>
      <w:proofErr w:type="gramStart"/>
      <w:r w:rsidR="00650B55">
        <w:rPr>
          <w:rFonts w:ascii="Times New Roman" w:hAnsi="Times New Roman" w:cs="Times New Roman"/>
          <w:sz w:val="24"/>
          <w:szCs w:val="24"/>
          <w:lang w:val="en-US"/>
        </w:rPr>
        <w:t xml:space="preserve">to  </w:t>
      </w:r>
      <w:r w:rsidRPr="0050734A">
        <w:rPr>
          <w:rFonts w:ascii="Times New Roman" w:hAnsi="Times New Roman" w:cs="Times New Roman"/>
          <w:sz w:val="24"/>
          <w:szCs w:val="24"/>
          <w:lang w:val="en-US"/>
        </w:rPr>
        <w:t>its</w:t>
      </w:r>
      <w:proofErr w:type="gramEnd"/>
      <w:r w:rsidRPr="0050734A">
        <w:rPr>
          <w:rFonts w:ascii="Times New Roman" w:hAnsi="Times New Roman" w:cs="Times New Roman"/>
          <w:sz w:val="24"/>
          <w:szCs w:val="24"/>
          <w:lang w:val="en-US"/>
        </w:rPr>
        <w:t xml:space="preserve"> de-registration from the Register of Political Parties</w:t>
      </w:r>
      <w:r w:rsidR="00650B55">
        <w:rPr>
          <w:rFonts w:ascii="Times New Roman" w:hAnsi="Times New Roman" w:cs="Times New Roman"/>
          <w:sz w:val="24"/>
          <w:szCs w:val="24"/>
          <w:lang w:val="en-US"/>
        </w:rPr>
        <w:t>,</w:t>
      </w:r>
      <w:r w:rsidRPr="0050734A">
        <w:rPr>
          <w:rFonts w:ascii="Times New Roman" w:hAnsi="Times New Roman" w:cs="Times New Roman"/>
          <w:sz w:val="24"/>
          <w:szCs w:val="24"/>
          <w:lang w:val="en-US"/>
        </w:rPr>
        <w:t xml:space="preserve"> which impedes </w:t>
      </w:r>
      <w:r w:rsidR="00650B55">
        <w:rPr>
          <w:rFonts w:ascii="Times New Roman" w:hAnsi="Times New Roman" w:cs="Times New Roman"/>
          <w:sz w:val="24"/>
          <w:szCs w:val="24"/>
          <w:lang w:val="en-US"/>
        </w:rPr>
        <w:t xml:space="preserve">the party’s </w:t>
      </w:r>
      <w:r w:rsidRPr="0050734A">
        <w:rPr>
          <w:rFonts w:ascii="Times New Roman" w:hAnsi="Times New Roman" w:cs="Times New Roman"/>
          <w:sz w:val="24"/>
          <w:szCs w:val="24"/>
          <w:lang w:val="en-US"/>
        </w:rPr>
        <w:t>candidates from standing as candidates. Just</w:t>
      </w:r>
      <w:r w:rsidR="00650B55">
        <w:rPr>
          <w:rFonts w:ascii="Times New Roman" w:hAnsi="Times New Roman" w:cs="Times New Roman"/>
          <w:sz w:val="24"/>
          <w:szCs w:val="24"/>
          <w:lang w:val="en-US"/>
        </w:rPr>
        <w:t xml:space="preserve"> before the third </w:t>
      </w:r>
      <w:proofErr w:type="gramStart"/>
      <w:r w:rsidR="00650B55">
        <w:rPr>
          <w:rFonts w:ascii="Times New Roman" w:hAnsi="Times New Roman" w:cs="Times New Roman"/>
          <w:sz w:val="24"/>
          <w:szCs w:val="24"/>
          <w:lang w:val="en-US"/>
        </w:rPr>
        <w:t>election  a</w:t>
      </w:r>
      <w:proofErr w:type="gramEnd"/>
      <w:r w:rsidRPr="0050734A">
        <w:rPr>
          <w:rFonts w:ascii="Times New Roman" w:hAnsi="Times New Roman" w:cs="Times New Roman"/>
          <w:sz w:val="24"/>
          <w:szCs w:val="24"/>
          <w:lang w:val="en-US"/>
        </w:rPr>
        <w:t xml:space="preserve"> new anti-clerical government is appointed</w:t>
      </w:r>
      <w:r w:rsidR="00650B55">
        <w:rPr>
          <w:rFonts w:ascii="Times New Roman" w:hAnsi="Times New Roman" w:cs="Times New Roman"/>
          <w:sz w:val="24"/>
          <w:szCs w:val="24"/>
          <w:lang w:val="en-US"/>
        </w:rPr>
        <w:t xml:space="preserve"> and</w:t>
      </w:r>
      <w:r w:rsidRPr="0050734A">
        <w:rPr>
          <w:rFonts w:ascii="Times New Roman" w:hAnsi="Times New Roman" w:cs="Times New Roman"/>
          <w:sz w:val="24"/>
          <w:szCs w:val="24"/>
          <w:lang w:val="en-US"/>
        </w:rPr>
        <w:t xml:space="preserve"> the </w:t>
      </w:r>
      <w:r w:rsidR="00650B55">
        <w:rPr>
          <w:rFonts w:ascii="Times New Roman" w:hAnsi="Times New Roman" w:cs="Times New Roman"/>
          <w:sz w:val="24"/>
          <w:szCs w:val="24"/>
          <w:lang w:val="en-US"/>
        </w:rPr>
        <w:t xml:space="preserve">Attorney </w:t>
      </w:r>
      <w:r w:rsidRPr="0050734A">
        <w:rPr>
          <w:rFonts w:ascii="Times New Roman" w:hAnsi="Times New Roman" w:cs="Times New Roman"/>
          <w:sz w:val="24"/>
          <w:szCs w:val="24"/>
          <w:lang w:val="en-US"/>
        </w:rPr>
        <w:t xml:space="preserve">General requires the Constitutional Court </w:t>
      </w:r>
      <w:r w:rsidR="00650B55">
        <w:rPr>
          <w:rFonts w:ascii="Times New Roman" w:hAnsi="Times New Roman" w:cs="Times New Roman"/>
          <w:sz w:val="24"/>
          <w:szCs w:val="24"/>
          <w:lang w:val="en-US"/>
        </w:rPr>
        <w:t xml:space="preserve">to dissolve </w:t>
      </w:r>
      <w:r w:rsidRPr="0050734A">
        <w:rPr>
          <w:rFonts w:ascii="Times New Roman" w:hAnsi="Times New Roman" w:cs="Times New Roman"/>
          <w:sz w:val="24"/>
          <w:szCs w:val="24"/>
          <w:lang w:val="en-US"/>
        </w:rPr>
        <w:t xml:space="preserve">party E (a </w:t>
      </w:r>
      <w:proofErr w:type="spellStart"/>
      <w:r w:rsidRPr="0050734A">
        <w:rPr>
          <w:rFonts w:ascii="Times New Roman" w:hAnsi="Times New Roman" w:cs="Times New Roman"/>
          <w:sz w:val="24"/>
          <w:szCs w:val="24"/>
          <w:lang w:val="en-US"/>
        </w:rPr>
        <w:t>fundament</w:t>
      </w:r>
      <w:r w:rsidR="0099156A">
        <w:rPr>
          <w:rFonts w:ascii="Times New Roman" w:hAnsi="Times New Roman" w:cs="Times New Roman"/>
          <w:sz w:val="24"/>
          <w:szCs w:val="24"/>
          <w:lang w:val="en-US"/>
        </w:rPr>
        <w:t>list</w:t>
      </w:r>
      <w:proofErr w:type="spellEnd"/>
      <w:r w:rsidRPr="0050734A">
        <w:rPr>
          <w:rFonts w:ascii="Times New Roman" w:hAnsi="Times New Roman" w:cs="Times New Roman"/>
          <w:sz w:val="24"/>
          <w:szCs w:val="24"/>
          <w:lang w:val="en-US"/>
        </w:rPr>
        <w:t xml:space="preserve"> religious party). </w:t>
      </w:r>
      <w:r w:rsidR="00650B55">
        <w:rPr>
          <w:rFonts w:ascii="Times New Roman" w:hAnsi="Times New Roman" w:cs="Times New Roman"/>
          <w:sz w:val="24"/>
          <w:szCs w:val="24"/>
          <w:lang w:val="en-US"/>
        </w:rPr>
        <w:t xml:space="preserve">Prior to election four, the governing coalition, </w:t>
      </w:r>
      <w:r w:rsidRPr="0050734A">
        <w:rPr>
          <w:rFonts w:ascii="Times New Roman" w:hAnsi="Times New Roman" w:cs="Times New Roman"/>
          <w:sz w:val="24"/>
          <w:szCs w:val="24"/>
          <w:lang w:val="en-US"/>
        </w:rPr>
        <w:t xml:space="preserve">fearing an electoral majority of party </w:t>
      </w:r>
      <w:r w:rsidRPr="0050734A">
        <w:rPr>
          <w:rFonts w:ascii="Times New Roman" w:hAnsi="Times New Roman" w:cs="Times New Roman"/>
          <w:sz w:val="24"/>
          <w:szCs w:val="24"/>
          <w:lang w:val="en-US"/>
        </w:rPr>
        <w:lastRenderedPageBreak/>
        <w:t xml:space="preserve">A would hinder EU </w:t>
      </w:r>
      <w:r w:rsidR="00650B55">
        <w:rPr>
          <w:rFonts w:ascii="Times New Roman" w:hAnsi="Times New Roman" w:cs="Times New Roman"/>
          <w:sz w:val="24"/>
          <w:szCs w:val="24"/>
          <w:lang w:val="en-US"/>
        </w:rPr>
        <w:t xml:space="preserve">accession </w:t>
      </w:r>
      <w:r w:rsidRPr="0050734A">
        <w:rPr>
          <w:rFonts w:ascii="Times New Roman" w:hAnsi="Times New Roman" w:cs="Times New Roman"/>
          <w:sz w:val="24"/>
          <w:szCs w:val="24"/>
          <w:lang w:val="en-US"/>
        </w:rPr>
        <w:t>negotiations, the governing coalition modifies the Law on Political Parties allowing ethnic parties to register.</w:t>
      </w:r>
    </w:p>
    <w:p w:rsidR="00653A92" w:rsidRDefault="00653A92" w:rsidP="0050734A">
      <w:pPr>
        <w:spacing w:after="0" w:line="360" w:lineRule="auto"/>
        <w:rPr>
          <w:rFonts w:ascii="Times New Roman" w:hAnsi="Times New Roman" w:cs="Times New Roman"/>
          <w:sz w:val="24"/>
          <w:szCs w:val="24"/>
          <w:lang w:val="en-US"/>
        </w:rPr>
      </w:pPr>
    </w:p>
    <w:p w:rsidR="0050734A" w:rsidRPr="0050734A" w:rsidRDefault="0050734A" w:rsidP="0050734A">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The table above also displays the level of electoral volatility (TEV), that is, “the net change within the electoral party system resulting</w:t>
      </w:r>
      <w:r w:rsidRPr="0050734A">
        <w:rPr>
          <w:rFonts w:ascii="Times New Roman" w:hAnsi="Times New Roman" w:cs="Times New Roman"/>
          <w:sz w:val="24"/>
          <w:szCs w:val="24"/>
          <w:lang w:val="en-GB"/>
        </w:rPr>
        <w:t xml:space="preserve"> </w:t>
      </w:r>
      <w:r w:rsidRPr="0050734A">
        <w:rPr>
          <w:rFonts w:ascii="Times New Roman" w:hAnsi="Times New Roman" w:cs="Times New Roman"/>
          <w:sz w:val="24"/>
          <w:szCs w:val="24"/>
          <w:lang w:val="en-US"/>
        </w:rPr>
        <w:t>from individual vote transfers” calculated according to Pedersen´s Index (1979):</w:t>
      </w:r>
    </w:p>
    <w:p w:rsidR="0050734A" w:rsidRPr="007C17D0" w:rsidRDefault="0050734A" w:rsidP="0050734A">
      <w:pPr>
        <w:spacing w:after="0" w:line="360" w:lineRule="auto"/>
        <w:jc w:val="center"/>
        <w:rPr>
          <w:rFonts w:ascii="Times New Roman" w:hAnsi="Times New Roman" w:cs="Times New Roman"/>
          <w:sz w:val="24"/>
          <w:szCs w:val="24"/>
        </w:rPr>
      </w:pPr>
      <w:r w:rsidRPr="007C17D0">
        <w:rPr>
          <w:rFonts w:ascii="Times New Roman" w:hAnsi="Times New Roman" w:cs="Times New Roman"/>
          <w:sz w:val="24"/>
          <w:szCs w:val="24"/>
        </w:rPr>
        <w:t>TEV=</w:t>
      </w:r>
      <w:r w:rsidRPr="0050734A">
        <w:rPr>
          <w:rFonts w:ascii="Times New Roman" w:hAnsi="Times New Roman" w:cs="Times New Roman"/>
          <w:sz w:val="24"/>
          <w:szCs w:val="24"/>
          <w:lang w:val="en-GB"/>
        </w:rPr>
        <w:t>Σ</w:t>
      </w:r>
      <w:r w:rsidRPr="007C17D0">
        <w:rPr>
          <w:rFonts w:ascii="Times New Roman" w:hAnsi="Times New Roman" w:cs="Times New Roman"/>
          <w:sz w:val="24"/>
          <w:szCs w:val="24"/>
        </w:rPr>
        <w:t>|</w:t>
      </w:r>
      <w:proofErr w:type="spellStart"/>
      <w:proofErr w:type="gramStart"/>
      <w:r w:rsidRPr="007C17D0">
        <w:rPr>
          <w:rFonts w:ascii="Times New Roman" w:hAnsi="Times New Roman" w:cs="Times New Roman"/>
          <w:sz w:val="24"/>
          <w:szCs w:val="24"/>
        </w:rPr>
        <w:t>v</w:t>
      </w:r>
      <w:r w:rsidRPr="007C17D0">
        <w:rPr>
          <w:rFonts w:ascii="Times New Roman" w:hAnsi="Times New Roman" w:cs="Times New Roman"/>
          <w:sz w:val="24"/>
          <w:szCs w:val="24"/>
          <w:vertAlign w:val="subscript"/>
        </w:rPr>
        <w:t>i,t</w:t>
      </w:r>
      <w:proofErr w:type="spellEnd"/>
      <w:proofErr w:type="gramEnd"/>
      <w:r w:rsidRPr="007C17D0">
        <w:rPr>
          <w:rFonts w:ascii="Times New Roman" w:hAnsi="Times New Roman" w:cs="Times New Roman"/>
          <w:sz w:val="24"/>
          <w:szCs w:val="24"/>
        </w:rPr>
        <w:t xml:space="preserve"> - v</w:t>
      </w:r>
      <w:r w:rsidRPr="007C17D0">
        <w:rPr>
          <w:rFonts w:ascii="Times New Roman" w:hAnsi="Times New Roman" w:cs="Times New Roman"/>
          <w:sz w:val="24"/>
          <w:szCs w:val="24"/>
          <w:vertAlign w:val="subscript"/>
        </w:rPr>
        <w:t>i,t-1</w:t>
      </w:r>
      <w:r w:rsidRPr="007C17D0">
        <w:rPr>
          <w:rFonts w:ascii="Times New Roman" w:hAnsi="Times New Roman" w:cs="Times New Roman"/>
          <w:sz w:val="24"/>
          <w:szCs w:val="24"/>
        </w:rPr>
        <w:t>|/2</w:t>
      </w:r>
    </w:p>
    <w:p w:rsidR="0050734A" w:rsidRPr="0050734A" w:rsidRDefault="0050734A" w:rsidP="0050734A">
      <w:pPr>
        <w:spacing w:after="0" w:line="360" w:lineRule="auto"/>
        <w:rPr>
          <w:rFonts w:ascii="Times New Roman" w:hAnsi="Times New Roman" w:cs="Times New Roman"/>
          <w:sz w:val="24"/>
          <w:szCs w:val="24"/>
          <w:lang w:val="en-US"/>
        </w:rPr>
      </w:pPr>
      <w:proofErr w:type="gramStart"/>
      <w:r w:rsidRPr="0050734A">
        <w:rPr>
          <w:rFonts w:ascii="Times New Roman" w:hAnsi="Times New Roman" w:cs="Times New Roman"/>
          <w:sz w:val="24"/>
          <w:szCs w:val="24"/>
          <w:lang w:val="en-GB"/>
        </w:rPr>
        <w:t>where</w:t>
      </w:r>
      <w:proofErr w:type="gramEnd"/>
      <w:r w:rsidRPr="0050734A">
        <w:rPr>
          <w:rFonts w:ascii="Times New Roman" w:hAnsi="Times New Roman" w:cs="Times New Roman"/>
          <w:sz w:val="24"/>
          <w:szCs w:val="24"/>
          <w:lang w:val="en-GB"/>
        </w:rPr>
        <w:t xml:space="preserve"> </w:t>
      </w:r>
      <w:proofErr w:type="spellStart"/>
      <w:r w:rsidRPr="0050734A">
        <w:rPr>
          <w:rFonts w:ascii="Times New Roman" w:hAnsi="Times New Roman" w:cs="Times New Roman"/>
          <w:sz w:val="24"/>
          <w:szCs w:val="24"/>
          <w:lang w:val="en-GB"/>
        </w:rPr>
        <w:t>v</w:t>
      </w:r>
      <w:r w:rsidRPr="0050734A">
        <w:rPr>
          <w:rFonts w:ascii="Times New Roman" w:hAnsi="Times New Roman" w:cs="Times New Roman"/>
          <w:sz w:val="24"/>
          <w:szCs w:val="24"/>
          <w:vertAlign w:val="subscript"/>
          <w:lang w:val="en-GB"/>
        </w:rPr>
        <w:t>i,t</w:t>
      </w:r>
      <w:proofErr w:type="spellEnd"/>
      <w:r w:rsidRPr="0050734A">
        <w:rPr>
          <w:rFonts w:ascii="Times New Roman" w:hAnsi="Times New Roman" w:cs="Times New Roman"/>
          <w:sz w:val="24"/>
          <w:szCs w:val="24"/>
          <w:lang w:val="en-GB"/>
        </w:rPr>
        <w:t xml:space="preserve"> is the vote share for a party </w:t>
      </w:r>
      <w:proofErr w:type="spellStart"/>
      <w:r w:rsidRPr="0050734A">
        <w:rPr>
          <w:rFonts w:ascii="Times New Roman" w:hAnsi="Times New Roman" w:cs="Times New Roman"/>
          <w:sz w:val="24"/>
          <w:szCs w:val="24"/>
          <w:vertAlign w:val="subscript"/>
          <w:lang w:val="en-GB"/>
        </w:rPr>
        <w:t>i</w:t>
      </w:r>
      <w:proofErr w:type="spellEnd"/>
      <w:r w:rsidRPr="0050734A">
        <w:rPr>
          <w:rFonts w:ascii="Times New Roman" w:hAnsi="Times New Roman" w:cs="Times New Roman"/>
          <w:sz w:val="24"/>
          <w:szCs w:val="24"/>
          <w:lang w:val="en-GB"/>
        </w:rPr>
        <w:t xml:space="preserve"> at a given election </w:t>
      </w:r>
      <w:r w:rsidRPr="0050734A">
        <w:rPr>
          <w:rFonts w:ascii="Times New Roman" w:hAnsi="Times New Roman" w:cs="Times New Roman"/>
          <w:sz w:val="24"/>
          <w:szCs w:val="24"/>
          <w:vertAlign w:val="subscript"/>
          <w:lang w:val="en-GB"/>
        </w:rPr>
        <w:t>t</w:t>
      </w:r>
      <w:r w:rsidRPr="0050734A">
        <w:rPr>
          <w:rFonts w:ascii="Times New Roman" w:hAnsi="Times New Roman" w:cs="Times New Roman"/>
          <w:sz w:val="24"/>
          <w:szCs w:val="24"/>
          <w:lang w:val="en-GB"/>
        </w:rPr>
        <w:t xml:space="preserve"> </w:t>
      </w:r>
      <w:r w:rsidRPr="0050734A">
        <w:rPr>
          <w:rFonts w:ascii="Times New Roman" w:hAnsi="Times New Roman" w:cs="Times New Roman"/>
          <w:sz w:val="24"/>
          <w:szCs w:val="24"/>
          <w:lang w:val="en-US"/>
        </w:rPr>
        <w:t xml:space="preserve">and </w:t>
      </w:r>
      <w:r w:rsidRPr="0050734A">
        <w:rPr>
          <w:rFonts w:ascii="Times New Roman" w:hAnsi="Times New Roman" w:cs="Times New Roman"/>
          <w:sz w:val="24"/>
          <w:szCs w:val="24"/>
          <w:lang w:val="en-GB"/>
        </w:rPr>
        <w:t>v</w:t>
      </w:r>
      <w:r w:rsidRPr="0050734A">
        <w:rPr>
          <w:rFonts w:ascii="Times New Roman" w:hAnsi="Times New Roman" w:cs="Times New Roman"/>
          <w:sz w:val="24"/>
          <w:szCs w:val="24"/>
          <w:vertAlign w:val="subscript"/>
          <w:lang w:val="en-GB"/>
        </w:rPr>
        <w:t>i,t-1</w:t>
      </w:r>
      <w:r w:rsidRPr="0050734A">
        <w:rPr>
          <w:rFonts w:ascii="Times New Roman" w:hAnsi="Times New Roman" w:cs="Times New Roman"/>
          <w:sz w:val="24"/>
          <w:szCs w:val="24"/>
          <w:lang w:val="en-US"/>
        </w:rPr>
        <w:t xml:space="preserve"> is the vote share of the same</w:t>
      </w:r>
      <w:r w:rsidRPr="0050734A">
        <w:rPr>
          <w:rFonts w:ascii="Times New Roman" w:hAnsi="Times New Roman" w:cs="Times New Roman"/>
          <w:sz w:val="24"/>
          <w:szCs w:val="24"/>
          <w:lang w:val="en-GB"/>
        </w:rPr>
        <w:t xml:space="preserve"> </w:t>
      </w:r>
      <w:r w:rsidRPr="0050734A">
        <w:rPr>
          <w:rFonts w:ascii="Times New Roman" w:hAnsi="Times New Roman" w:cs="Times New Roman"/>
          <w:sz w:val="24"/>
          <w:szCs w:val="24"/>
          <w:lang w:val="en-US"/>
        </w:rPr>
        <w:t xml:space="preserve">party </w:t>
      </w:r>
      <w:proofErr w:type="spellStart"/>
      <w:r w:rsidRPr="0050734A">
        <w:rPr>
          <w:rFonts w:ascii="Times New Roman" w:hAnsi="Times New Roman" w:cs="Times New Roman"/>
          <w:sz w:val="24"/>
          <w:szCs w:val="24"/>
          <w:lang w:val="en-US"/>
        </w:rPr>
        <w:t>ith</w:t>
      </w:r>
      <w:proofErr w:type="spellEnd"/>
      <w:r w:rsidRPr="0050734A">
        <w:rPr>
          <w:rFonts w:ascii="Times New Roman" w:hAnsi="Times New Roman" w:cs="Times New Roman"/>
          <w:sz w:val="24"/>
          <w:szCs w:val="24"/>
          <w:lang w:val="en-US"/>
        </w:rPr>
        <w:t xml:space="preserve"> at the previous elections (</w:t>
      </w:r>
      <w:r w:rsidRPr="0050734A">
        <w:rPr>
          <w:rFonts w:ascii="Times New Roman" w:hAnsi="Times New Roman" w:cs="Times New Roman"/>
          <w:sz w:val="24"/>
          <w:szCs w:val="24"/>
          <w:vertAlign w:val="subscript"/>
          <w:lang w:val="en-GB"/>
        </w:rPr>
        <w:t>t-1</w:t>
      </w:r>
      <w:r w:rsidRPr="0050734A">
        <w:rPr>
          <w:rFonts w:ascii="Times New Roman" w:hAnsi="Times New Roman" w:cs="Times New Roman"/>
          <w:sz w:val="24"/>
          <w:szCs w:val="24"/>
          <w:lang w:val="en-US"/>
        </w:rPr>
        <w:t>). As i</w:t>
      </w:r>
      <w:r w:rsidR="00650B55">
        <w:rPr>
          <w:rFonts w:ascii="Times New Roman" w:hAnsi="Times New Roman" w:cs="Times New Roman"/>
          <w:sz w:val="24"/>
          <w:szCs w:val="24"/>
          <w:lang w:val="en-US"/>
        </w:rPr>
        <w:t>t</w:t>
      </w:r>
      <w:r w:rsidRPr="0050734A">
        <w:rPr>
          <w:rFonts w:ascii="Times New Roman" w:hAnsi="Times New Roman" w:cs="Times New Roman"/>
          <w:sz w:val="24"/>
          <w:szCs w:val="24"/>
          <w:lang w:val="en-US"/>
        </w:rPr>
        <w:t xml:space="preserve"> follows from table </w:t>
      </w:r>
      <w:r w:rsidR="00EA2DE1">
        <w:rPr>
          <w:rFonts w:ascii="Times New Roman" w:hAnsi="Times New Roman" w:cs="Times New Roman"/>
          <w:sz w:val="24"/>
          <w:szCs w:val="24"/>
          <w:lang w:val="en-US"/>
        </w:rPr>
        <w:t>3</w:t>
      </w:r>
      <w:r w:rsidRPr="0050734A">
        <w:rPr>
          <w:rFonts w:ascii="Times New Roman" w:hAnsi="Times New Roman" w:cs="Times New Roman"/>
          <w:sz w:val="24"/>
          <w:szCs w:val="24"/>
          <w:lang w:val="en-US"/>
        </w:rPr>
        <w:t xml:space="preserve">, the banning of party C before election 2 and the change in party legislation before election 4 has an outstanding impact </w:t>
      </w:r>
      <w:r w:rsidR="004918C3">
        <w:rPr>
          <w:rFonts w:ascii="Times New Roman" w:hAnsi="Times New Roman" w:cs="Times New Roman"/>
          <w:sz w:val="24"/>
          <w:szCs w:val="24"/>
          <w:lang w:val="en-US"/>
        </w:rPr>
        <w:t>o</w:t>
      </w:r>
      <w:r w:rsidRPr="0050734A">
        <w:rPr>
          <w:rFonts w:ascii="Times New Roman" w:hAnsi="Times New Roman" w:cs="Times New Roman"/>
          <w:sz w:val="24"/>
          <w:szCs w:val="24"/>
          <w:lang w:val="en-US"/>
        </w:rPr>
        <w:t xml:space="preserve">n voters´ preference and, therefore, in the degree of electoral stability. Thus, while the TEV between elections 2 and 3 is only of 6 percent, the same score for the two elections in which parties were banned reaches 30 and 24 percent respectively. This clearly converts elections 2 and 4 in what Pedersen called “earthquake” elections - that is, those </w:t>
      </w:r>
      <w:r w:rsidR="004918C3">
        <w:rPr>
          <w:rFonts w:ascii="Times New Roman" w:hAnsi="Times New Roman" w:cs="Times New Roman"/>
          <w:sz w:val="24"/>
          <w:szCs w:val="24"/>
          <w:lang w:val="en-US"/>
        </w:rPr>
        <w:t xml:space="preserve">with </w:t>
      </w:r>
      <w:r w:rsidRPr="0050734A">
        <w:rPr>
          <w:rFonts w:ascii="Times New Roman" w:hAnsi="Times New Roman" w:cs="Times New Roman"/>
          <w:sz w:val="24"/>
          <w:szCs w:val="24"/>
          <w:lang w:val="en-US"/>
        </w:rPr>
        <w:t xml:space="preserve">more than fifteen percent of electoral net change – with the consequences this may have for the functioning of democracy (Lane and </w:t>
      </w:r>
      <w:proofErr w:type="spellStart"/>
      <w:r w:rsidRPr="0050734A">
        <w:rPr>
          <w:rFonts w:ascii="Times New Roman" w:hAnsi="Times New Roman" w:cs="Times New Roman"/>
          <w:sz w:val="24"/>
          <w:szCs w:val="24"/>
          <w:lang w:val="en-US"/>
        </w:rPr>
        <w:t>Ersson</w:t>
      </w:r>
      <w:proofErr w:type="spellEnd"/>
      <w:r w:rsidRPr="0050734A">
        <w:rPr>
          <w:rFonts w:ascii="Times New Roman" w:hAnsi="Times New Roman" w:cs="Times New Roman"/>
          <w:sz w:val="24"/>
          <w:szCs w:val="24"/>
          <w:lang w:val="en-US"/>
        </w:rPr>
        <w:t>, 2007).</w:t>
      </w:r>
    </w:p>
    <w:p w:rsidR="00653A92" w:rsidRDefault="00653A92" w:rsidP="00653A92">
      <w:pPr>
        <w:spacing w:after="0" w:line="360" w:lineRule="auto"/>
        <w:rPr>
          <w:rFonts w:ascii="Times New Roman" w:hAnsi="Times New Roman" w:cs="Times New Roman"/>
          <w:sz w:val="24"/>
          <w:szCs w:val="24"/>
          <w:lang w:val="en-US"/>
        </w:rPr>
      </w:pPr>
    </w:p>
    <w:p w:rsidR="0050734A" w:rsidRPr="0050734A" w:rsidRDefault="0050734A" w:rsidP="00653A92">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This is not to say, however, that the impact party banning may have on party system stability will not be determined by the relevanc</w:t>
      </w:r>
      <w:r w:rsidR="004918C3">
        <w:rPr>
          <w:rFonts w:ascii="Times New Roman" w:hAnsi="Times New Roman" w:cs="Times New Roman"/>
          <w:sz w:val="24"/>
          <w:szCs w:val="24"/>
          <w:lang w:val="en-US"/>
        </w:rPr>
        <w:t>e</w:t>
      </w:r>
      <w:r w:rsidRPr="0050734A">
        <w:rPr>
          <w:rFonts w:ascii="Times New Roman" w:hAnsi="Times New Roman" w:cs="Times New Roman"/>
          <w:sz w:val="24"/>
          <w:szCs w:val="24"/>
          <w:lang w:val="en-US"/>
        </w:rPr>
        <w:t xml:space="preserve"> within the political system of the party banned. Thus, it follows from </w:t>
      </w:r>
      <w:r w:rsidR="004918C3">
        <w:rPr>
          <w:rFonts w:ascii="Times New Roman" w:hAnsi="Times New Roman" w:cs="Times New Roman"/>
          <w:sz w:val="24"/>
          <w:szCs w:val="24"/>
          <w:lang w:val="en-US"/>
        </w:rPr>
        <w:t>T</w:t>
      </w:r>
      <w:r w:rsidRPr="0050734A">
        <w:rPr>
          <w:rFonts w:ascii="Times New Roman" w:hAnsi="Times New Roman" w:cs="Times New Roman"/>
          <w:sz w:val="24"/>
          <w:szCs w:val="24"/>
          <w:lang w:val="en-US"/>
        </w:rPr>
        <w:t xml:space="preserve">able </w:t>
      </w:r>
      <w:r w:rsidR="00EA2DE1">
        <w:rPr>
          <w:rFonts w:ascii="Times New Roman" w:hAnsi="Times New Roman" w:cs="Times New Roman"/>
          <w:sz w:val="24"/>
          <w:szCs w:val="24"/>
          <w:lang w:val="en-US"/>
        </w:rPr>
        <w:t>3</w:t>
      </w:r>
      <w:r w:rsidR="004918C3">
        <w:rPr>
          <w:rFonts w:ascii="Times New Roman" w:hAnsi="Times New Roman" w:cs="Times New Roman"/>
          <w:sz w:val="24"/>
          <w:szCs w:val="24"/>
          <w:lang w:val="en-US"/>
        </w:rPr>
        <w:t xml:space="preserve"> </w:t>
      </w:r>
      <w:r w:rsidRPr="0050734A">
        <w:rPr>
          <w:rFonts w:ascii="Times New Roman" w:hAnsi="Times New Roman" w:cs="Times New Roman"/>
          <w:sz w:val="24"/>
          <w:szCs w:val="24"/>
          <w:lang w:val="en-US"/>
        </w:rPr>
        <w:t>above that while the banning and (re-) registration of party C alone contributes to increas</w:t>
      </w:r>
      <w:r w:rsidR="004918C3">
        <w:rPr>
          <w:rFonts w:ascii="Times New Roman" w:hAnsi="Times New Roman" w:cs="Times New Roman"/>
          <w:sz w:val="24"/>
          <w:szCs w:val="24"/>
          <w:lang w:val="en-US"/>
        </w:rPr>
        <w:t xml:space="preserve">ing  </w:t>
      </w:r>
      <w:r w:rsidRPr="0050734A">
        <w:rPr>
          <w:rFonts w:ascii="Times New Roman" w:hAnsi="Times New Roman" w:cs="Times New Roman"/>
          <w:sz w:val="24"/>
          <w:szCs w:val="24"/>
          <w:lang w:val="en-US"/>
        </w:rPr>
        <w:t xml:space="preserve">the TEV </w:t>
      </w:r>
      <w:r w:rsidR="004918C3">
        <w:rPr>
          <w:rFonts w:ascii="Times New Roman" w:hAnsi="Times New Roman" w:cs="Times New Roman"/>
          <w:sz w:val="24"/>
          <w:szCs w:val="24"/>
          <w:lang w:val="en-US"/>
        </w:rPr>
        <w:t xml:space="preserve">by </w:t>
      </w:r>
      <w:r w:rsidRPr="0050734A">
        <w:rPr>
          <w:rFonts w:ascii="Times New Roman" w:hAnsi="Times New Roman" w:cs="Times New Roman"/>
          <w:sz w:val="24"/>
          <w:szCs w:val="24"/>
          <w:lang w:val="en-US"/>
        </w:rPr>
        <w:t xml:space="preserve">at least 10 percent, the impact of judicial dissolution of party E in the stability of the party system is minimal (just 2 percent). </w:t>
      </w:r>
      <w:proofErr w:type="gramStart"/>
      <w:r w:rsidRPr="0050734A">
        <w:rPr>
          <w:rFonts w:ascii="Times New Roman" w:hAnsi="Times New Roman" w:cs="Times New Roman"/>
          <w:sz w:val="24"/>
          <w:szCs w:val="24"/>
          <w:lang w:val="en-US"/>
        </w:rPr>
        <w:t>Still an impact, even if minor.</w:t>
      </w:r>
      <w:proofErr w:type="gramEnd"/>
      <w:r w:rsidRPr="0050734A">
        <w:rPr>
          <w:rStyle w:val="FootnoteReference"/>
          <w:rFonts w:ascii="Times New Roman" w:hAnsi="Times New Roman" w:cs="Times New Roman"/>
          <w:sz w:val="24"/>
          <w:szCs w:val="24"/>
          <w:lang w:val="en-US"/>
        </w:rPr>
        <w:footnoteReference w:id="4"/>
      </w:r>
    </w:p>
    <w:p w:rsidR="00653A92" w:rsidRDefault="00653A92" w:rsidP="0050734A">
      <w:pPr>
        <w:spacing w:after="0" w:line="360" w:lineRule="auto"/>
        <w:rPr>
          <w:rFonts w:ascii="Times New Roman" w:hAnsi="Times New Roman" w:cs="Times New Roman"/>
          <w:sz w:val="24"/>
          <w:szCs w:val="24"/>
          <w:lang w:val="en-US"/>
        </w:rPr>
      </w:pPr>
    </w:p>
    <w:p w:rsidR="0050734A" w:rsidRPr="0050734A" w:rsidRDefault="0050734A" w:rsidP="0050734A">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 xml:space="preserve">In terms of the number of parties in the system, and building on the literature linking both party continuity and systemic stability (Rose and Mackie, 1988; Mainwaring and Scully, 1995; Casal </w:t>
      </w:r>
      <w:proofErr w:type="spellStart"/>
      <w:r w:rsidRPr="0050734A">
        <w:rPr>
          <w:rFonts w:ascii="Times New Roman" w:hAnsi="Times New Roman" w:cs="Times New Roman"/>
          <w:sz w:val="24"/>
          <w:szCs w:val="24"/>
          <w:lang w:val="en-US"/>
        </w:rPr>
        <w:t>Bértoa</w:t>
      </w:r>
      <w:proofErr w:type="spellEnd"/>
      <w:r w:rsidRPr="0050734A">
        <w:rPr>
          <w:rFonts w:ascii="Times New Roman" w:hAnsi="Times New Roman" w:cs="Times New Roman"/>
          <w:sz w:val="24"/>
          <w:szCs w:val="24"/>
          <w:lang w:val="en-US"/>
        </w:rPr>
        <w:t>, 2012), it is obvious that the judicial dissolution of a party will have an impact on the level of electoral fragmentation (Müller, 1993: 421). Conversely, and taking into consideration the negative relationship between new party entry and systemic stability (</w:t>
      </w:r>
      <w:proofErr w:type="spellStart"/>
      <w:r w:rsidRPr="0050734A">
        <w:rPr>
          <w:rFonts w:ascii="Times New Roman" w:hAnsi="Times New Roman" w:cs="Times New Roman"/>
          <w:sz w:val="24"/>
          <w:szCs w:val="24"/>
          <w:lang w:val="en-US"/>
        </w:rPr>
        <w:t>Tavits</w:t>
      </w:r>
      <w:proofErr w:type="spellEnd"/>
      <w:r w:rsidRPr="0050734A">
        <w:rPr>
          <w:rFonts w:ascii="Times New Roman" w:hAnsi="Times New Roman" w:cs="Times New Roman"/>
          <w:sz w:val="24"/>
          <w:szCs w:val="24"/>
          <w:lang w:val="en-US"/>
        </w:rPr>
        <w:t xml:space="preserve">, 2008), the re-foundation of a previously banned party will alter the party system format by increasing the number of electoral parties. And the same can be said at the legislative level, for all those parties which </w:t>
      </w:r>
      <w:proofErr w:type="spellStart"/>
      <w:r w:rsidRPr="0050734A">
        <w:rPr>
          <w:rFonts w:ascii="Times New Roman" w:hAnsi="Times New Roman" w:cs="Times New Roman"/>
          <w:sz w:val="24"/>
          <w:szCs w:val="24"/>
          <w:lang w:val="en-US"/>
        </w:rPr>
        <w:t>Sartori</w:t>
      </w:r>
      <w:proofErr w:type="spellEnd"/>
      <w:r w:rsidRPr="0050734A">
        <w:rPr>
          <w:rFonts w:ascii="Times New Roman" w:hAnsi="Times New Roman" w:cs="Times New Roman"/>
          <w:sz w:val="24"/>
          <w:szCs w:val="24"/>
          <w:lang w:val="en-US"/>
        </w:rPr>
        <w:t xml:space="preserve"> (1976) considered to be “relevant”.</w:t>
      </w:r>
    </w:p>
    <w:p w:rsidR="00653A92" w:rsidRDefault="00653A92" w:rsidP="0050734A">
      <w:pPr>
        <w:spacing w:after="0" w:line="360" w:lineRule="auto"/>
        <w:rPr>
          <w:rFonts w:ascii="Times New Roman" w:hAnsi="Times New Roman" w:cs="Times New Roman"/>
          <w:sz w:val="24"/>
          <w:szCs w:val="24"/>
          <w:lang w:val="en-US"/>
        </w:rPr>
      </w:pPr>
    </w:p>
    <w:p w:rsidR="0050734A" w:rsidRPr="0050734A" w:rsidRDefault="0050734A" w:rsidP="0050734A">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 xml:space="preserve">Calculated according to </w:t>
      </w:r>
      <w:proofErr w:type="spellStart"/>
      <w:r w:rsidRPr="0050734A">
        <w:rPr>
          <w:rFonts w:ascii="Times New Roman" w:hAnsi="Times New Roman" w:cs="Times New Roman"/>
          <w:sz w:val="24"/>
          <w:szCs w:val="24"/>
          <w:lang w:val="en-US"/>
        </w:rPr>
        <w:t>Laakso</w:t>
      </w:r>
      <w:proofErr w:type="spellEnd"/>
      <w:r w:rsidRPr="0050734A">
        <w:rPr>
          <w:rFonts w:ascii="Times New Roman" w:hAnsi="Times New Roman" w:cs="Times New Roman"/>
          <w:sz w:val="24"/>
          <w:szCs w:val="24"/>
          <w:lang w:val="en-US"/>
        </w:rPr>
        <w:t xml:space="preserve"> and </w:t>
      </w:r>
      <w:proofErr w:type="spellStart"/>
      <w:r w:rsidRPr="0050734A">
        <w:rPr>
          <w:rFonts w:ascii="Times New Roman" w:hAnsi="Times New Roman" w:cs="Times New Roman"/>
          <w:sz w:val="24"/>
          <w:szCs w:val="24"/>
          <w:lang w:val="en-US"/>
        </w:rPr>
        <w:t>Taagepera´s</w:t>
      </w:r>
      <w:proofErr w:type="spellEnd"/>
      <w:r w:rsidRPr="0050734A">
        <w:rPr>
          <w:rFonts w:ascii="Times New Roman" w:hAnsi="Times New Roman" w:cs="Times New Roman"/>
          <w:sz w:val="24"/>
          <w:szCs w:val="24"/>
          <w:lang w:val="en-US"/>
        </w:rPr>
        <w:t xml:space="preserve"> (1979) by now classic index,</w:t>
      </w:r>
      <w:r w:rsidRPr="0050734A">
        <w:rPr>
          <w:rStyle w:val="FootnoteReference"/>
          <w:rFonts w:ascii="Times New Roman" w:hAnsi="Times New Roman" w:cs="Times New Roman"/>
          <w:sz w:val="24"/>
          <w:szCs w:val="24"/>
          <w:lang w:val="en-US"/>
        </w:rPr>
        <w:footnoteReference w:id="5"/>
      </w:r>
      <w:r w:rsidRPr="0050734A">
        <w:rPr>
          <w:rFonts w:ascii="Times New Roman" w:hAnsi="Times New Roman" w:cs="Times New Roman"/>
          <w:sz w:val="24"/>
          <w:szCs w:val="24"/>
          <w:lang w:val="en-US"/>
        </w:rPr>
        <w:t xml:space="preserve"> table </w:t>
      </w:r>
      <w:r w:rsidR="00EA2DE1">
        <w:rPr>
          <w:rFonts w:ascii="Times New Roman" w:hAnsi="Times New Roman" w:cs="Times New Roman"/>
          <w:sz w:val="24"/>
          <w:szCs w:val="24"/>
          <w:lang w:val="en-US"/>
        </w:rPr>
        <w:t>3</w:t>
      </w:r>
      <w:r w:rsidRPr="0050734A">
        <w:rPr>
          <w:rFonts w:ascii="Times New Roman" w:hAnsi="Times New Roman" w:cs="Times New Roman"/>
          <w:sz w:val="24"/>
          <w:szCs w:val="24"/>
          <w:lang w:val="en-US"/>
        </w:rPr>
        <w:t xml:space="preserve"> presents the level of both electoral (ENEP) and parliamentary (ENPP) fragmentation in country X. As it can be observed, the “effective” number of parties not only changes with the dissolution or “re-institution” of banned parties, but also contributes to systemic change, in the sense of allowing for a change in category/class (</w:t>
      </w:r>
      <w:proofErr w:type="spellStart"/>
      <w:r w:rsidRPr="0050734A">
        <w:rPr>
          <w:rFonts w:ascii="Times New Roman" w:hAnsi="Times New Roman" w:cs="Times New Roman"/>
          <w:sz w:val="24"/>
          <w:szCs w:val="24"/>
          <w:lang w:val="en-US"/>
        </w:rPr>
        <w:t>Mair</w:t>
      </w:r>
      <w:proofErr w:type="spellEnd"/>
      <w:r w:rsidRPr="0050734A">
        <w:rPr>
          <w:rFonts w:ascii="Times New Roman" w:hAnsi="Times New Roman" w:cs="Times New Roman"/>
          <w:sz w:val="24"/>
          <w:szCs w:val="24"/>
          <w:lang w:val="en-US"/>
        </w:rPr>
        <w:t>, 1997). Thus, and according to Mainwaring and Scully (1995),</w:t>
      </w:r>
      <w:r w:rsidRPr="0050734A">
        <w:rPr>
          <w:rStyle w:val="FootnoteReference"/>
          <w:rFonts w:ascii="Times New Roman" w:hAnsi="Times New Roman" w:cs="Times New Roman"/>
          <w:sz w:val="24"/>
          <w:szCs w:val="24"/>
          <w:lang w:val="en-US"/>
        </w:rPr>
        <w:footnoteReference w:id="6"/>
      </w:r>
      <w:r w:rsidRPr="0050734A">
        <w:rPr>
          <w:rFonts w:ascii="Times New Roman" w:hAnsi="Times New Roman" w:cs="Times New Roman"/>
          <w:sz w:val="24"/>
          <w:szCs w:val="24"/>
          <w:lang w:val="en-US"/>
        </w:rPr>
        <w:t xml:space="preserve"> while the party system in country X can be classified as a limited pluralist </w:t>
      </w:r>
      <w:r w:rsidR="004918C3">
        <w:rPr>
          <w:rFonts w:ascii="Times New Roman" w:hAnsi="Times New Roman" w:cs="Times New Roman"/>
          <w:sz w:val="24"/>
          <w:szCs w:val="24"/>
          <w:lang w:val="en-US"/>
        </w:rPr>
        <w:t xml:space="preserve">party system </w:t>
      </w:r>
      <w:r w:rsidRPr="0050734A">
        <w:rPr>
          <w:rFonts w:ascii="Times New Roman" w:hAnsi="Times New Roman" w:cs="Times New Roman"/>
          <w:sz w:val="24"/>
          <w:szCs w:val="24"/>
          <w:lang w:val="en-US"/>
        </w:rPr>
        <w:t xml:space="preserve">at the time of election 1, it comes closer to a two-and-a-half party system after election 2, </w:t>
      </w:r>
      <w:r w:rsidR="004918C3">
        <w:rPr>
          <w:rFonts w:ascii="Times New Roman" w:hAnsi="Times New Roman" w:cs="Times New Roman"/>
          <w:sz w:val="24"/>
          <w:szCs w:val="24"/>
          <w:lang w:val="en-US"/>
        </w:rPr>
        <w:t xml:space="preserve">and then </w:t>
      </w:r>
      <w:r w:rsidRPr="0050734A">
        <w:rPr>
          <w:rFonts w:ascii="Times New Roman" w:hAnsi="Times New Roman" w:cs="Times New Roman"/>
          <w:sz w:val="24"/>
          <w:szCs w:val="24"/>
          <w:lang w:val="en-US"/>
        </w:rPr>
        <w:t>recover</w:t>
      </w:r>
      <w:r w:rsidR="004918C3">
        <w:rPr>
          <w:rFonts w:ascii="Times New Roman" w:hAnsi="Times New Roman" w:cs="Times New Roman"/>
          <w:sz w:val="24"/>
          <w:szCs w:val="24"/>
          <w:lang w:val="en-US"/>
        </w:rPr>
        <w:t>s</w:t>
      </w:r>
      <w:r w:rsidRPr="0050734A">
        <w:rPr>
          <w:rFonts w:ascii="Times New Roman" w:hAnsi="Times New Roman" w:cs="Times New Roman"/>
          <w:sz w:val="24"/>
          <w:szCs w:val="24"/>
          <w:lang w:val="en-US"/>
        </w:rPr>
        <w:t xml:space="preserve"> its limited pluralist status after the fourth election. With the consequences this has not only for the mechanisms of the party system (</w:t>
      </w:r>
      <w:proofErr w:type="spellStart"/>
      <w:r w:rsidRPr="0050734A">
        <w:rPr>
          <w:rFonts w:ascii="Times New Roman" w:hAnsi="Times New Roman" w:cs="Times New Roman"/>
          <w:sz w:val="24"/>
          <w:szCs w:val="24"/>
          <w:lang w:val="en-US"/>
        </w:rPr>
        <w:t>Sartori</w:t>
      </w:r>
      <w:proofErr w:type="spellEnd"/>
      <w:r w:rsidRPr="0050734A">
        <w:rPr>
          <w:rFonts w:ascii="Times New Roman" w:hAnsi="Times New Roman" w:cs="Times New Roman"/>
          <w:sz w:val="24"/>
          <w:szCs w:val="24"/>
          <w:lang w:val="en-US"/>
        </w:rPr>
        <w:t>, 1976), but also for electoral volatility (</w:t>
      </w:r>
      <w:proofErr w:type="spellStart"/>
      <w:r w:rsidRPr="0050734A">
        <w:rPr>
          <w:rFonts w:ascii="Times New Roman" w:hAnsi="Times New Roman" w:cs="Times New Roman"/>
          <w:sz w:val="24"/>
          <w:szCs w:val="24"/>
          <w:lang w:val="en-US"/>
        </w:rPr>
        <w:t>Bartolini</w:t>
      </w:r>
      <w:proofErr w:type="spellEnd"/>
      <w:r w:rsidRPr="0050734A">
        <w:rPr>
          <w:rFonts w:ascii="Times New Roman" w:hAnsi="Times New Roman" w:cs="Times New Roman"/>
          <w:sz w:val="24"/>
          <w:szCs w:val="24"/>
          <w:lang w:val="en-US"/>
        </w:rPr>
        <w:t xml:space="preserve"> and </w:t>
      </w:r>
      <w:proofErr w:type="spellStart"/>
      <w:r w:rsidRPr="0050734A">
        <w:rPr>
          <w:rFonts w:ascii="Times New Roman" w:hAnsi="Times New Roman" w:cs="Times New Roman"/>
          <w:sz w:val="24"/>
          <w:szCs w:val="24"/>
          <w:lang w:val="en-US"/>
        </w:rPr>
        <w:t>Mair</w:t>
      </w:r>
      <w:proofErr w:type="spellEnd"/>
      <w:r w:rsidRPr="0050734A">
        <w:rPr>
          <w:rFonts w:ascii="Times New Roman" w:hAnsi="Times New Roman" w:cs="Times New Roman"/>
          <w:sz w:val="24"/>
          <w:szCs w:val="24"/>
          <w:lang w:val="en-US"/>
        </w:rPr>
        <w:t xml:space="preserve">, 1990) and governmental closure (Casal </w:t>
      </w:r>
      <w:proofErr w:type="spellStart"/>
      <w:r w:rsidRPr="0050734A">
        <w:rPr>
          <w:rFonts w:ascii="Times New Roman" w:hAnsi="Times New Roman" w:cs="Times New Roman"/>
          <w:sz w:val="24"/>
          <w:szCs w:val="24"/>
          <w:lang w:val="en-US"/>
        </w:rPr>
        <w:t>Bértoa</w:t>
      </w:r>
      <w:proofErr w:type="spellEnd"/>
      <w:r w:rsidRPr="0050734A">
        <w:rPr>
          <w:rFonts w:ascii="Times New Roman" w:hAnsi="Times New Roman" w:cs="Times New Roman"/>
          <w:sz w:val="24"/>
          <w:szCs w:val="24"/>
          <w:lang w:val="en-US"/>
        </w:rPr>
        <w:t>, 2012).</w:t>
      </w:r>
    </w:p>
    <w:p w:rsidR="00653A92" w:rsidRDefault="00653A92" w:rsidP="00653A92">
      <w:pPr>
        <w:spacing w:after="0" w:line="360" w:lineRule="auto"/>
        <w:rPr>
          <w:rFonts w:ascii="Times New Roman" w:hAnsi="Times New Roman" w:cs="Times New Roman"/>
          <w:sz w:val="24"/>
          <w:szCs w:val="24"/>
          <w:lang w:val="en-US"/>
        </w:rPr>
      </w:pPr>
    </w:p>
    <w:p w:rsidR="0050734A" w:rsidRPr="0050734A" w:rsidRDefault="0050734A" w:rsidP="00653A92">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 xml:space="preserve">Finally, and even more recently, scholars have also started to explore the consequences party bans may have for the structure of partisan competition at the time of government formation (Casal </w:t>
      </w:r>
      <w:proofErr w:type="spellStart"/>
      <w:r w:rsidRPr="0050734A">
        <w:rPr>
          <w:rFonts w:ascii="Times New Roman" w:hAnsi="Times New Roman" w:cs="Times New Roman"/>
          <w:sz w:val="24"/>
          <w:szCs w:val="24"/>
          <w:lang w:val="en-US"/>
        </w:rPr>
        <w:t>Bértoa</w:t>
      </w:r>
      <w:proofErr w:type="spellEnd"/>
      <w:r w:rsidRPr="0050734A">
        <w:rPr>
          <w:rFonts w:ascii="Times New Roman" w:hAnsi="Times New Roman" w:cs="Times New Roman"/>
          <w:sz w:val="24"/>
          <w:szCs w:val="24"/>
          <w:lang w:val="en-US"/>
        </w:rPr>
        <w:t xml:space="preserve"> and </w:t>
      </w:r>
      <w:proofErr w:type="spellStart"/>
      <w:r w:rsidRPr="0050734A">
        <w:rPr>
          <w:rFonts w:ascii="Times New Roman" w:hAnsi="Times New Roman" w:cs="Times New Roman"/>
          <w:sz w:val="24"/>
          <w:szCs w:val="24"/>
          <w:lang w:val="en-US"/>
        </w:rPr>
        <w:t>Walecki</w:t>
      </w:r>
      <w:proofErr w:type="spellEnd"/>
      <w:r w:rsidRPr="0050734A">
        <w:rPr>
          <w:rFonts w:ascii="Times New Roman" w:hAnsi="Times New Roman" w:cs="Times New Roman"/>
          <w:sz w:val="24"/>
          <w:szCs w:val="24"/>
          <w:lang w:val="en-US"/>
        </w:rPr>
        <w:t xml:space="preserve">, forthcoming; Casal </w:t>
      </w:r>
      <w:proofErr w:type="spellStart"/>
      <w:r w:rsidRPr="0050734A">
        <w:rPr>
          <w:rFonts w:ascii="Times New Roman" w:hAnsi="Times New Roman" w:cs="Times New Roman"/>
          <w:sz w:val="24"/>
          <w:szCs w:val="24"/>
          <w:lang w:val="en-US"/>
        </w:rPr>
        <w:t>Bértoa</w:t>
      </w:r>
      <w:proofErr w:type="spellEnd"/>
      <w:r w:rsidRPr="0050734A">
        <w:rPr>
          <w:rFonts w:ascii="Times New Roman" w:hAnsi="Times New Roman" w:cs="Times New Roman"/>
          <w:sz w:val="24"/>
          <w:szCs w:val="24"/>
          <w:lang w:val="en-US"/>
        </w:rPr>
        <w:t xml:space="preserve"> et al., forthcoming). The logic here is double. On the one hand, it seems clear that banning</w:t>
      </w:r>
      <w:r w:rsidR="004918C3">
        <w:rPr>
          <w:rFonts w:ascii="Times New Roman" w:hAnsi="Times New Roman" w:cs="Times New Roman"/>
          <w:sz w:val="24"/>
          <w:szCs w:val="24"/>
          <w:lang w:val="en-US"/>
        </w:rPr>
        <w:t xml:space="preserve"> </w:t>
      </w:r>
      <w:proofErr w:type="gramStart"/>
      <w:r w:rsidR="004918C3">
        <w:rPr>
          <w:rFonts w:ascii="Times New Roman" w:hAnsi="Times New Roman" w:cs="Times New Roman"/>
          <w:sz w:val="24"/>
          <w:szCs w:val="24"/>
          <w:lang w:val="en-US"/>
        </w:rPr>
        <w:t>a</w:t>
      </w:r>
      <w:r w:rsidRPr="0050734A">
        <w:rPr>
          <w:rFonts w:ascii="Times New Roman" w:hAnsi="Times New Roman" w:cs="Times New Roman"/>
          <w:sz w:val="24"/>
          <w:szCs w:val="24"/>
          <w:lang w:val="en-US"/>
        </w:rPr>
        <w:t xml:space="preserve">  party</w:t>
      </w:r>
      <w:proofErr w:type="gramEnd"/>
      <w:r w:rsidRPr="0050734A">
        <w:rPr>
          <w:rFonts w:ascii="Times New Roman" w:hAnsi="Times New Roman" w:cs="Times New Roman"/>
          <w:sz w:val="24"/>
          <w:szCs w:val="24"/>
          <w:lang w:val="en-US"/>
        </w:rPr>
        <w:t xml:space="preserve"> with “coalition potential” (in </w:t>
      </w:r>
      <w:proofErr w:type="spellStart"/>
      <w:r w:rsidRPr="0050734A">
        <w:rPr>
          <w:rFonts w:ascii="Times New Roman" w:hAnsi="Times New Roman" w:cs="Times New Roman"/>
          <w:sz w:val="24"/>
          <w:szCs w:val="24"/>
          <w:lang w:val="en-US"/>
        </w:rPr>
        <w:t>Sartorian</w:t>
      </w:r>
      <w:proofErr w:type="spellEnd"/>
      <w:r w:rsidRPr="0050734A">
        <w:rPr>
          <w:rFonts w:ascii="Times New Roman" w:hAnsi="Times New Roman" w:cs="Times New Roman"/>
          <w:sz w:val="24"/>
          <w:szCs w:val="24"/>
          <w:lang w:val="en-US"/>
        </w:rPr>
        <w:t xml:space="preserve"> terms) may affect patterns of inter-party cooperation/collaboration by introducing an element of unpredictability and, therefore, chang</w:t>
      </w:r>
      <w:r w:rsidR="004918C3">
        <w:rPr>
          <w:rFonts w:ascii="Times New Roman" w:hAnsi="Times New Roman" w:cs="Times New Roman"/>
          <w:sz w:val="24"/>
          <w:szCs w:val="24"/>
          <w:lang w:val="en-US"/>
        </w:rPr>
        <w:t>e</w:t>
      </w:r>
      <w:r w:rsidRPr="0050734A">
        <w:rPr>
          <w:rFonts w:ascii="Times New Roman" w:hAnsi="Times New Roman" w:cs="Times New Roman"/>
          <w:sz w:val="24"/>
          <w:szCs w:val="24"/>
          <w:lang w:val="en-US"/>
        </w:rPr>
        <w:t xml:space="preserve"> the pre-existing structure of competition (</w:t>
      </w:r>
      <w:proofErr w:type="spellStart"/>
      <w:r w:rsidRPr="0050734A">
        <w:rPr>
          <w:rFonts w:ascii="Times New Roman" w:hAnsi="Times New Roman" w:cs="Times New Roman"/>
          <w:sz w:val="24"/>
          <w:szCs w:val="24"/>
          <w:lang w:val="en-US"/>
        </w:rPr>
        <w:t>Taleski</w:t>
      </w:r>
      <w:proofErr w:type="spellEnd"/>
      <w:r w:rsidRPr="0050734A">
        <w:rPr>
          <w:rFonts w:ascii="Times New Roman" w:hAnsi="Times New Roman" w:cs="Times New Roman"/>
          <w:sz w:val="24"/>
          <w:szCs w:val="24"/>
          <w:lang w:val="en-US"/>
        </w:rPr>
        <w:t xml:space="preserve"> and Casal </w:t>
      </w:r>
      <w:proofErr w:type="spellStart"/>
      <w:r w:rsidRPr="0050734A">
        <w:rPr>
          <w:rFonts w:ascii="Times New Roman" w:hAnsi="Times New Roman" w:cs="Times New Roman"/>
          <w:sz w:val="24"/>
          <w:szCs w:val="24"/>
          <w:lang w:val="en-US"/>
        </w:rPr>
        <w:t>Bértoa</w:t>
      </w:r>
      <w:proofErr w:type="spellEnd"/>
      <w:r w:rsidRPr="0050734A">
        <w:rPr>
          <w:rFonts w:ascii="Times New Roman" w:hAnsi="Times New Roman" w:cs="Times New Roman"/>
          <w:sz w:val="24"/>
          <w:szCs w:val="24"/>
          <w:lang w:val="en-US"/>
        </w:rPr>
        <w:t xml:space="preserve">, 2014). On the other, the non-banning of </w:t>
      </w:r>
      <w:r w:rsidR="004918C3">
        <w:rPr>
          <w:rFonts w:ascii="Times New Roman" w:hAnsi="Times New Roman" w:cs="Times New Roman"/>
          <w:sz w:val="24"/>
          <w:szCs w:val="24"/>
          <w:lang w:val="en-US"/>
        </w:rPr>
        <w:t xml:space="preserve">a </w:t>
      </w:r>
      <w:r w:rsidRPr="0050734A">
        <w:rPr>
          <w:rFonts w:ascii="Times New Roman" w:hAnsi="Times New Roman" w:cs="Times New Roman"/>
          <w:sz w:val="24"/>
          <w:szCs w:val="24"/>
          <w:lang w:val="en-US"/>
        </w:rPr>
        <w:t xml:space="preserve">political party (e.g. “anti-system” parties like Communists, Fascists, extreme nationalists, etc.) can also have important effects in the patterns of partisan interaction by “artificially” constraining the “streams of interaction” to the extent of creating a “fictitious” structure of competition that does not correspond with the ideological spread in the electoral and/or parliamentary arenas (Haughton, forthcoming; Casal </w:t>
      </w:r>
      <w:proofErr w:type="spellStart"/>
      <w:r w:rsidRPr="0050734A">
        <w:rPr>
          <w:rFonts w:ascii="Times New Roman" w:hAnsi="Times New Roman" w:cs="Times New Roman"/>
          <w:sz w:val="24"/>
          <w:szCs w:val="24"/>
          <w:lang w:val="en-US"/>
        </w:rPr>
        <w:t>Bértoa</w:t>
      </w:r>
      <w:proofErr w:type="spellEnd"/>
      <w:r w:rsidRPr="0050734A">
        <w:rPr>
          <w:rFonts w:ascii="Times New Roman" w:hAnsi="Times New Roman" w:cs="Times New Roman"/>
          <w:sz w:val="24"/>
          <w:szCs w:val="24"/>
          <w:lang w:val="en-US"/>
        </w:rPr>
        <w:t xml:space="preserve"> et al., 2014b).</w:t>
      </w:r>
      <w:r w:rsidRPr="0050734A">
        <w:rPr>
          <w:rStyle w:val="FootnoteReference"/>
          <w:rFonts w:ascii="Times New Roman" w:hAnsi="Times New Roman" w:cs="Times New Roman"/>
          <w:sz w:val="24"/>
          <w:szCs w:val="24"/>
          <w:lang w:val="en-US"/>
        </w:rPr>
        <w:footnoteReference w:id="7"/>
      </w:r>
    </w:p>
    <w:p w:rsidR="00653A92" w:rsidRDefault="00653A92" w:rsidP="00653A92">
      <w:pPr>
        <w:spacing w:after="0" w:line="360" w:lineRule="auto"/>
        <w:rPr>
          <w:rFonts w:ascii="Times New Roman" w:hAnsi="Times New Roman" w:cs="Times New Roman"/>
          <w:sz w:val="24"/>
          <w:szCs w:val="24"/>
          <w:lang w:val="en-US"/>
        </w:rPr>
      </w:pPr>
    </w:p>
    <w:p w:rsidR="0050734A" w:rsidRPr="0050734A" w:rsidRDefault="0050734A" w:rsidP="00653A92">
      <w:pPr>
        <w:spacing w:after="0" w:line="360" w:lineRule="auto"/>
        <w:rPr>
          <w:rFonts w:ascii="Times New Roman" w:hAnsi="Times New Roman" w:cs="Times New Roman"/>
          <w:sz w:val="24"/>
          <w:szCs w:val="24"/>
          <w:lang w:val="en-US"/>
        </w:rPr>
      </w:pPr>
      <w:r w:rsidRPr="0050734A">
        <w:rPr>
          <w:rFonts w:ascii="Times New Roman" w:hAnsi="Times New Roman" w:cs="Times New Roman"/>
          <w:sz w:val="24"/>
          <w:szCs w:val="24"/>
          <w:lang w:val="en-US"/>
        </w:rPr>
        <w:t xml:space="preserve">In the “hypothetical” case showed in table </w:t>
      </w:r>
      <w:r w:rsidR="00EA2DE1">
        <w:rPr>
          <w:rFonts w:ascii="Times New Roman" w:hAnsi="Times New Roman" w:cs="Times New Roman"/>
          <w:sz w:val="24"/>
          <w:szCs w:val="24"/>
          <w:lang w:val="en-US"/>
        </w:rPr>
        <w:t>3</w:t>
      </w:r>
      <w:r w:rsidRPr="0050734A">
        <w:rPr>
          <w:rFonts w:ascii="Times New Roman" w:hAnsi="Times New Roman" w:cs="Times New Roman"/>
          <w:sz w:val="24"/>
          <w:szCs w:val="24"/>
          <w:lang w:val="en-US"/>
        </w:rPr>
        <w:t xml:space="preserve"> it seems obvious that the banning of party C not only </w:t>
      </w:r>
      <w:proofErr w:type="spellStart"/>
      <w:r w:rsidRPr="0050734A">
        <w:rPr>
          <w:rFonts w:ascii="Times New Roman" w:hAnsi="Times New Roman" w:cs="Times New Roman"/>
          <w:sz w:val="24"/>
          <w:szCs w:val="24"/>
          <w:lang w:val="en-US"/>
        </w:rPr>
        <w:t>favoured</w:t>
      </w:r>
      <w:proofErr w:type="spellEnd"/>
      <w:r w:rsidRPr="0050734A">
        <w:rPr>
          <w:rFonts w:ascii="Times New Roman" w:hAnsi="Times New Roman" w:cs="Times New Roman"/>
          <w:sz w:val="24"/>
          <w:szCs w:val="24"/>
          <w:lang w:val="en-US"/>
        </w:rPr>
        <w:t xml:space="preserve"> the electoral majority of party A in election 2, but also impede</w:t>
      </w:r>
      <w:r w:rsidR="00332536">
        <w:rPr>
          <w:rFonts w:ascii="Times New Roman" w:hAnsi="Times New Roman" w:cs="Times New Roman"/>
          <w:sz w:val="24"/>
          <w:szCs w:val="24"/>
          <w:lang w:val="en-US"/>
        </w:rPr>
        <w:t>d</w:t>
      </w:r>
      <w:r w:rsidRPr="0050734A">
        <w:rPr>
          <w:rFonts w:ascii="Times New Roman" w:hAnsi="Times New Roman" w:cs="Times New Roman"/>
          <w:sz w:val="24"/>
          <w:szCs w:val="24"/>
          <w:lang w:val="en-US"/>
        </w:rPr>
        <w:t xml:space="preserve"> the re-edition of the B-C coalition at the time of election 3. Moreover, the legalization of party C before election 4 introduced </w:t>
      </w:r>
      <w:r w:rsidRPr="0050734A">
        <w:rPr>
          <w:rFonts w:ascii="Times New Roman" w:hAnsi="Times New Roman" w:cs="Times New Roman"/>
          <w:sz w:val="24"/>
          <w:szCs w:val="24"/>
          <w:lang w:val="en-US"/>
        </w:rPr>
        <w:lastRenderedPageBreak/>
        <w:t xml:space="preserve">a clear element of unpredictability as, even after the electoral results were announced, it was not straightforward with whom party B, clear winner of the elections, would decide to form a coalition: either with party D (as in election 3) or party C (as in election 1). On the other hand, the non-banning of the Communist party clearly </w:t>
      </w:r>
      <w:r w:rsidR="00332536">
        <w:rPr>
          <w:rFonts w:ascii="Times New Roman" w:hAnsi="Times New Roman" w:cs="Times New Roman"/>
          <w:sz w:val="24"/>
          <w:szCs w:val="24"/>
          <w:lang w:val="en-US"/>
        </w:rPr>
        <w:t xml:space="preserve">prevented </w:t>
      </w:r>
      <w:r w:rsidRPr="0050734A">
        <w:rPr>
          <w:rFonts w:ascii="Times New Roman" w:hAnsi="Times New Roman" w:cs="Times New Roman"/>
          <w:sz w:val="24"/>
          <w:szCs w:val="24"/>
          <w:lang w:val="en-US"/>
        </w:rPr>
        <w:t xml:space="preserve">the Socialists </w:t>
      </w:r>
      <w:r w:rsidR="00332536">
        <w:rPr>
          <w:rFonts w:ascii="Times New Roman" w:hAnsi="Times New Roman" w:cs="Times New Roman"/>
          <w:sz w:val="24"/>
          <w:szCs w:val="24"/>
          <w:lang w:val="en-US"/>
        </w:rPr>
        <w:t xml:space="preserve">from </w:t>
      </w:r>
      <w:r w:rsidRPr="0050734A">
        <w:rPr>
          <w:rFonts w:ascii="Times New Roman" w:hAnsi="Times New Roman" w:cs="Times New Roman"/>
          <w:sz w:val="24"/>
          <w:szCs w:val="24"/>
          <w:lang w:val="en-US"/>
        </w:rPr>
        <w:t>win</w:t>
      </w:r>
      <w:r w:rsidR="00332536">
        <w:rPr>
          <w:rFonts w:ascii="Times New Roman" w:hAnsi="Times New Roman" w:cs="Times New Roman"/>
          <w:sz w:val="24"/>
          <w:szCs w:val="24"/>
          <w:lang w:val="en-US"/>
        </w:rPr>
        <w:t>ning</w:t>
      </w:r>
      <w:r w:rsidRPr="0050734A">
        <w:rPr>
          <w:rFonts w:ascii="Times New Roman" w:hAnsi="Times New Roman" w:cs="Times New Roman"/>
          <w:sz w:val="24"/>
          <w:szCs w:val="24"/>
          <w:lang w:val="en-US"/>
        </w:rPr>
        <w:t xml:space="preserve"> an absolute legislative majority in most elections, forcing them also to co-operate with their “ideological enemies” in order to achieve executive power (e.g. election 3).</w:t>
      </w:r>
      <w:r w:rsidR="001B2C3F">
        <w:rPr>
          <w:rFonts w:ascii="Times New Roman" w:hAnsi="Times New Roman" w:cs="Times New Roman"/>
          <w:sz w:val="24"/>
          <w:szCs w:val="24"/>
          <w:lang w:val="en-US"/>
        </w:rPr>
        <w:t xml:space="preserve"> We now turn to consider the validity of these expectations in case studies of Germany, Spain and Turkey.</w:t>
      </w:r>
    </w:p>
    <w:p w:rsidR="00EA2DE1" w:rsidRDefault="00EA2DE1" w:rsidP="00161C1B">
      <w:pPr>
        <w:spacing w:after="0" w:line="360" w:lineRule="auto"/>
        <w:jc w:val="both"/>
        <w:rPr>
          <w:rFonts w:ascii="Times New Roman" w:hAnsi="Times New Roman" w:cs="Times New Roman"/>
          <w:b/>
          <w:sz w:val="24"/>
          <w:szCs w:val="24"/>
          <w:lang w:val="en-US"/>
        </w:rPr>
      </w:pPr>
    </w:p>
    <w:p w:rsidR="00161C1B" w:rsidRPr="00161C1B" w:rsidRDefault="00161C1B" w:rsidP="00161C1B">
      <w:pPr>
        <w:spacing w:after="0" w:line="360" w:lineRule="auto"/>
        <w:jc w:val="center"/>
        <w:rPr>
          <w:rFonts w:ascii="Times New Roman" w:hAnsi="Times New Roman" w:cs="Times New Roman"/>
          <w:b/>
          <w:sz w:val="24"/>
          <w:szCs w:val="24"/>
          <w:lang w:val="en-US"/>
        </w:rPr>
      </w:pPr>
      <w:r w:rsidRPr="00161C1B">
        <w:rPr>
          <w:rFonts w:ascii="Times New Roman" w:hAnsi="Times New Roman" w:cs="Times New Roman"/>
          <w:b/>
          <w:sz w:val="24"/>
          <w:szCs w:val="24"/>
          <w:lang w:val="en-US"/>
        </w:rPr>
        <w:t>Prescribing Party System Change? The cases of Spain, Germany and Turkey</w:t>
      </w:r>
    </w:p>
    <w:p w:rsidR="00EA2DE1" w:rsidRDefault="00B003CD" w:rsidP="00883DB3">
      <w:pPr>
        <w:spacing w:after="0" w:line="360" w:lineRule="auto"/>
        <w:jc w:val="both"/>
        <w:rPr>
          <w:rFonts w:ascii="Times New Roman" w:hAnsi="Times New Roman" w:cs="Times New Roman"/>
          <w:i/>
          <w:sz w:val="24"/>
          <w:szCs w:val="24"/>
          <w:lang w:val="en-US"/>
        </w:rPr>
      </w:pPr>
      <w:r w:rsidRPr="00883DB3">
        <w:rPr>
          <w:rFonts w:ascii="Times New Roman" w:hAnsi="Times New Roman" w:cs="Times New Roman"/>
          <w:i/>
          <w:sz w:val="24"/>
          <w:szCs w:val="24"/>
          <w:lang w:val="en-US"/>
        </w:rPr>
        <w:t>Germany</w:t>
      </w:r>
    </w:p>
    <w:p w:rsidR="00B003CD" w:rsidRDefault="00B003CD" w:rsidP="00B003CD">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Germany</w:t>
      </w:r>
      <w:r>
        <w:rPr>
          <w:rFonts w:ascii="Times New Roman" w:hAnsi="Times New Roman" w:cs="Times New Roman"/>
          <w:sz w:val="24"/>
          <w:szCs w:val="24"/>
          <w:lang w:val="en-US"/>
        </w:rPr>
        <w:t xml:space="preserve">, </w:t>
      </w:r>
      <w:r w:rsidRPr="00161C1B">
        <w:rPr>
          <w:rFonts w:ascii="Times New Roman" w:hAnsi="Times New Roman" w:cs="Times New Roman"/>
          <w:sz w:val="24"/>
          <w:szCs w:val="24"/>
          <w:lang w:val="en-US"/>
        </w:rPr>
        <w:t>the first European country to adopt the principle of “militant democracy” (in 1949)),</w:t>
      </w:r>
      <w:r>
        <w:rPr>
          <w:rFonts w:ascii="Times New Roman" w:hAnsi="Times New Roman" w:cs="Times New Roman"/>
          <w:sz w:val="24"/>
          <w:szCs w:val="24"/>
          <w:lang w:val="en-US"/>
        </w:rPr>
        <w:t xml:space="preserve"> has </w:t>
      </w:r>
      <w:r w:rsidRPr="00161C1B">
        <w:rPr>
          <w:rFonts w:ascii="Times New Roman" w:hAnsi="Times New Roman" w:cs="Times New Roman"/>
          <w:sz w:val="24"/>
          <w:szCs w:val="24"/>
          <w:lang w:val="en-US"/>
        </w:rPr>
        <w:t>banned</w:t>
      </w:r>
      <w:r>
        <w:rPr>
          <w:rFonts w:ascii="Times New Roman" w:hAnsi="Times New Roman" w:cs="Times New Roman"/>
          <w:sz w:val="24"/>
          <w:szCs w:val="24"/>
          <w:lang w:val="en-US"/>
        </w:rPr>
        <w:t xml:space="preserve"> parties</w:t>
      </w:r>
      <w:r w:rsidRPr="00161C1B">
        <w:rPr>
          <w:rFonts w:ascii="Times New Roman" w:hAnsi="Times New Roman" w:cs="Times New Roman"/>
          <w:sz w:val="24"/>
          <w:szCs w:val="24"/>
          <w:lang w:val="en-US"/>
        </w:rPr>
        <w:t xml:space="preserve"> due to their illegal activities, but also on ideological grounds (</w:t>
      </w:r>
      <w:proofErr w:type="spellStart"/>
      <w:r w:rsidRPr="00161C1B">
        <w:rPr>
          <w:rFonts w:ascii="Times New Roman" w:hAnsi="Times New Roman" w:cs="Times New Roman"/>
          <w:sz w:val="24"/>
          <w:szCs w:val="24"/>
          <w:lang w:val="en-US"/>
        </w:rPr>
        <w:t>Biezen</w:t>
      </w:r>
      <w:proofErr w:type="spellEnd"/>
      <w:r w:rsidRPr="00161C1B">
        <w:rPr>
          <w:rFonts w:ascii="Times New Roman" w:hAnsi="Times New Roman" w:cs="Times New Roman"/>
          <w:sz w:val="24"/>
          <w:szCs w:val="24"/>
          <w:lang w:val="en-US"/>
        </w:rPr>
        <w:t xml:space="preserve"> and Casal </w:t>
      </w:r>
      <w:proofErr w:type="spellStart"/>
      <w:r w:rsidRPr="00161C1B">
        <w:rPr>
          <w:rFonts w:ascii="Times New Roman" w:hAnsi="Times New Roman" w:cs="Times New Roman"/>
          <w:sz w:val="24"/>
          <w:szCs w:val="24"/>
          <w:lang w:val="en-US"/>
        </w:rPr>
        <w:t>Bértoa</w:t>
      </w:r>
      <w:proofErr w:type="spellEnd"/>
      <w:r w:rsidRPr="00161C1B">
        <w:rPr>
          <w:rFonts w:ascii="Times New Roman" w:hAnsi="Times New Roman" w:cs="Times New Roman"/>
          <w:sz w:val="24"/>
          <w:szCs w:val="24"/>
          <w:lang w:val="en-US"/>
        </w:rPr>
        <w:t>, 2014</w:t>
      </w:r>
      <w:r>
        <w:rPr>
          <w:rFonts w:ascii="Times New Roman" w:hAnsi="Times New Roman" w:cs="Times New Roman"/>
          <w:sz w:val="24"/>
          <w:szCs w:val="24"/>
          <w:lang w:val="en-US"/>
        </w:rPr>
        <w:t xml:space="preserve">; </w:t>
      </w:r>
      <w:r w:rsidRPr="00161C1B">
        <w:rPr>
          <w:rFonts w:ascii="Times New Roman" w:hAnsi="Times New Roman" w:cs="Times New Roman"/>
          <w:sz w:val="24"/>
          <w:szCs w:val="24"/>
          <w:lang w:val="en-US"/>
        </w:rPr>
        <w:t xml:space="preserve">Casal </w:t>
      </w:r>
      <w:proofErr w:type="spellStart"/>
      <w:r w:rsidRPr="00161C1B">
        <w:rPr>
          <w:rFonts w:ascii="Times New Roman" w:hAnsi="Times New Roman" w:cs="Times New Roman"/>
          <w:sz w:val="24"/>
          <w:szCs w:val="24"/>
          <w:lang w:val="en-US"/>
        </w:rPr>
        <w:t>Bértoa</w:t>
      </w:r>
      <w:proofErr w:type="spellEnd"/>
      <w:r w:rsidRPr="00161C1B">
        <w:rPr>
          <w:rFonts w:ascii="Times New Roman" w:hAnsi="Times New Roman" w:cs="Times New Roman"/>
          <w:sz w:val="24"/>
          <w:szCs w:val="24"/>
          <w:lang w:val="en-US"/>
        </w:rPr>
        <w:t xml:space="preserve"> et al., forthcoming). In practice, and </w:t>
      </w:r>
      <w:r>
        <w:rPr>
          <w:rFonts w:ascii="Times New Roman" w:hAnsi="Times New Roman" w:cs="Times New Roman"/>
          <w:sz w:val="24"/>
          <w:szCs w:val="24"/>
          <w:lang w:val="en-US"/>
        </w:rPr>
        <w:t xml:space="preserve">due to </w:t>
      </w:r>
      <w:r w:rsidRPr="00161C1B">
        <w:rPr>
          <w:rFonts w:ascii="Times New Roman" w:hAnsi="Times New Roman" w:cs="Times New Roman"/>
          <w:sz w:val="24"/>
          <w:szCs w:val="24"/>
          <w:lang w:val="en-US"/>
        </w:rPr>
        <w:t xml:space="preserve">Germany´s past experiences with </w:t>
      </w:r>
      <w:proofErr w:type="spellStart"/>
      <w:r w:rsidRPr="00161C1B">
        <w:rPr>
          <w:rFonts w:ascii="Times New Roman" w:hAnsi="Times New Roman" w:cs="Times New Roman"/>
          <w:sz w:val="24"/>
          <w:szCs w:val="24"/>
          <w:lang w:val="en-US"/>
        </w:rPr>
        <w:t>totalitarism</w:t>
      </w:r>
      <w:proofErr w:type="spellEnd"/>
      <w:r w:rsidRPr="00161C1B">
        <w:rPr>
          <w:rFonts w:ascii="Times New Roman" w:hAnsi="Times New Roman" w:cs="Times New Roman"/>
          <w:sz w:val="24"/>
          <w:szCs w:val="24"/>
          <w:lang w:val="en-US"/>
        </w:rPr>
        <w:t xml:space="preserve">, both the pro-Nazi Socialist Reich Party (SRP) and the Communist Party </w:t>
      </w:r>
      <w:r>
        <w:rPr>
          <w:rFonts w:ascii="Times New Roman" w:hAnsi="Times New Roman" w:cs="Times New Roman"/>
          <w:sz w:val="24"/>
          <w:szCs w:val="24"/>
          <w:lang w:val="en-US"/>
        </w:rPr>
        <w:t>of</w:t>
      </w:r>
      <w:r w:rsidRPr="00161C1B">
        <w:rPr>
          <w:rFonts w:ascii="Times New Roman" w:hAnsi="Times New Roman" w:cs="Times New Roman"/>
          <w:sz w:val="24"/>
          <w:szCs w:val="24"/>
          <w:lang w:val="en-US"/>
        </w:rPr>
        <w:t xml:space="preserve"> Germany (KPD) were banned by the Constitutional Court in 1952 and 1956, respectively. However, while the SRP, founded in October 1949, only managed to leave its </w:t>
      </w:r>
      <w:r>
        <w:rPr>
          <w:rFonts w:ascii="Times New Roman" w:hAnsi="Times New Roman" w:cs="Times New Roman"/>
          <w:sz w:val="24"/>
          <w:szCs w:val="24"/>
          <w:lang w:val="en-US"/>
        </w:rPr>
        <w:t>mark</w:t>
      </w:r>
      <w:r w:rsidRPr="00161C1B">
        <w:rPr>
          <w:rFonts w:ascii="Times New Roman" w:hAnsi="Times New Roman" w:cs="Times New Roman"/>
          <w:sz w:val="24"/>
          <w:szCs w:val="24"/>
          <w:lang w:val="en-US"/>
        </w:rPr>
        <w:t xml:space="preserve"> at the regional level, the KPD had the opportunity to contest the first two federal elections with different degrees of success: 5.7 percent of the vote and 15 seats in 1949, 2.2 percent and no seats in 1953.</w:t>
      </w:r>
    </w:p>
    <w:p w:rsidR="00B003CD" w:rsidRPr="00883DB3" w:rsidRDefault="00B003CD" w:rsidP="00883DB3">
      <w:pPr>
        <w:spacing w:after="0" w:line="360" w:lineRule="auto"/>
        <w:jc w:val="center"/>
        <w:rPr>
          <w:rFonts w:ascii="Times New Roman" w:hAnsi="Times New Roman" w:cs="Times New Roman"/>
          <w:b/>
          <w:sz w:val="24"/>
          <w:szCs w:val="24"/>
          <w:lang w:val="en-US"/>
        </w:rPr>
      </w:pPr>
    </w:p>
    <w:p w:rsidR="00B003CD" w:rsidRDefault="00B003CD" w:rsidP="00883DB3">
      <w:pPr>
        <w:spacing w:after="0" w:line="240" w:lineRule="auto"/>
        <w:jc w:val="center"/>
        <w:rPr>
          <w:rFonts w:ascii="Times New Roman" w:hAnsi="Times New Roman" w:cs="Times New Roman"/>
          <w:b/>
          <w:sz w:val="24"/>
          <w:szCs w:val="24"/>
          <w:lang w:val="en-US"/>
        </w:rPr>
      </w:pPr>
      <w:proofErr w:type="gramStart"/>
      <w:r w:rsidRPr="00883DB3">
        <w:rPr>
          <w:rFonts w:ascii="Times New Roman" w:hAnsi="Times New Roman" w:cs="Times New Roman"/>
          <w:b/>
          <w:sz w:val="24"/>
          <w:szCs w:val="24"/>
          <w:lang w:val="en-US"/>
        </w:rPr>
        <w:t>Table 4.</w:t>
      </w:r>
      <w:proofErr w:type="gramEnd"/>
      <w:r w:rsidRPr="00883DB3">
        <w:rPr>
          <w:rFonts w:ascii="Times New Roman" w:hAnsi="Times New Roman" w:cs="Times New Roman"/>
          <w:b/>
          <w:sz w:val="24"/>
          <w:szCs w:val="24"/>
          <w:lang w:val="en-US"/>
        </w:rPr>
        <w:t xml:space="preserve"> Party system indicators in Germany (1949-1957)</w:t>
      </w:r>
    </w:p>
    <w:p w:rsidR="00B003CD" w:rsidRPr="00883DB3" w:rsidRDefault="00B003CD" w:rsidP="00883DB3">
      <w:pPr>
        <w:spacing w:after="0" w:line="240" w:lineRule="auto"/>
        <w:jc w:val="center"/>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668"/>
        <w:gridCol w:w="2268"/>
        <w:gridCol w:w="2547"/>
        <w:gridCol w:w="2161"/>
      </w:tblGrid>
      <w:tr w:rsidR="00B003CD" w:rsidRPr="00161C1B" w:rsidTr="00895231">
        <w:tc>
          <w:tcPr>
            <w:tcW w:w="1668" w:type="dxa"/>
          </w:tcPr>
          <w:p w:rsidR="00B003CD" w:rsidRPr="00161C1B" w:rsidRDefault="00B003CD" w:rsidP="00895231">
            <w:pPr>
              <w:jc w:val="center"/>
              <w:rPr>
                <w:sz w:val="22"/>
                <w:szCs w:val="22"/>
                <w:lang w:val="en-US"/>
              </w:rPr>
            </w:pPr>
          </w:p>
        </w:tc>
        <w:tc>
          <w:tcPr>
            <w:tcW w:w="2268" w:type="dxa"/>
            <w:vAlign w:val="bottom"/>
          </w:tcPr>
          <w:p w:rsidR="00B003CD" w:rsidRPr="00161C1B" w:rsidRDefault="00B003CD" w:rsidP="00895231">
            <w:pPr>
              <w:jc w:val="center"/>
              <w:rPr>
                <w:b/>
                <w:bCs/>
                <w:color w:val="000000"/>
                <w:sz w:val="22"/>
                <w:szCs w:val="22"/>
              </w:rPr>
            </w:pPr>
            <w:r w:rsidRPr="00161C1B">
              <w:rPr>
                <w:b/>
                <w:bCs/>
                <w:color w:val="000000"/>
                <w:sz w:val="22"/>
                <w:szCs w:val="22"/>
              </w:rPr>
              <w:t>1949</w:t>
            </w:r>
          </w:p>
        </w:tc>
        <w:tc>
          <w:tcPr>
            <w:tcW w:w="2547" w:type="dxa"/>
            <w:vAlign w:val="bottom"/>
          </w:tcPr>
          <w:p w:rsidR="00B003CD" w:rsidRPr="00161C1B" w:rsidRDefault="00B003CD" w:rsidP="00895231">
            <w:pPr>
              <w:jc w:val="center"/>
              <w:rPr>
                <w:b/>
                <w:bCs/>
                <w:color w:val="000000"/>
                <w:sz w:val="22"/>
                <w:szCs w:val="22"/>
              </w:rPr>
            </w:pPr>
            <w:r w:rsidRPr="00161C1B">
              <w:rPr>
                <w:b/>
                <w:bCs/>
                <w:color w:val="000000"/>
                <w:sz w:val="22"/>
                <w:szCs w:val="22"/>
              </w:rPr>
              <w:t>1953</w:t>
            </w:r>
          </w:p>
        </w:tc>
        <w:tc>
          <w:tcPr>
            <w:tcW w:w="2161" w:type="dxa"/>
            <w:vAlign w:val="bottom"/>
          </w:tcPr>
          <w:p w:rsidR="00B003CD" w:rsidRPr="00161C1B" w:rsidRDefault="00B003CD" w:rsidP="00895231">
            <w:pPr>
              <w:jc w:val="center"/>
              <w:rPr>
                <w:b/>
                <w:bCs/>
                <w:color w:val="000000"/>
                <w:sz w:val="22"/>
                <w:szCs w:val="22"/>
              </w:rPr>
            </w:pPr>
            <w:r w:rsidRPr="00161C1B">
              <w:rPr>
                <w:b/>
                <w:bCs/>
                <w:color w:val="000000"/>
                <w:sz w:val="22"/>
                <w:szCs w:val="22"/>
              </w:rPr>
              <w:t>1957</w:t>
            </w:r>
          </w:p>
        </w:tc>
      </w:tr>
      <w:tr w:rsidR="00B003CD" w:rsidRPr="00161C1B" w:rsidTr="00895231">
        <w:tc>
          <w:tcPr>
            <w:tcW w:w="1668" w:type="dxa"/>
          </w:tcPr>
          <w:p w:rsidR="00B003CD" w:rsidRPr="00161C1B" w:rsidRDefault="00B003CD" w:rsidP="00895231">
            <w:pPr>
              <w:jc w:val="center"/>
              <w:rPr>
                <w:b/>
                <w:sz w:val="22"/>
                <w:szCs w:val="22"/>
                <w:lang w:val="en-US"/>
              </w:rPr>
            </w:pPr>
            <w:r w:rsidRPr="00161C1B">
              <w:rPr>
                <w:b/>
                <w:sz w:val="22"/>
                <w:szCs w:val="22"/>
                <w:lang w:val="en-US"/>
              </w:rPr>
              <w:t>TEV</w:t>
            </w:r>
          </w:p>
        </w:tc>
        <w:tc>
          <w:tcPr>
            <w:tcW w:w="2268" w:type="dxa"/>
            <w:vAlign w:val="bottom"/>
          </w:tcPr>
          <w:p w:rsidR="00B003CD" w:rsidRPr="00161C1B" w:rsidRDefault="00B003CD" w:rsidP="00895231">
            <w:pPr>
              <w:jc w:val="center"/>
              <w:rPr>
                <w:color w:val="000000"/>
                <w:sz w:val="22"/>
                <w:szCs w:val="22"/>
              </w:rPr>
            </w:pPr>
            <w:r w:rsidRPr="00161C1B">
              <w:rPr>
                <w:color w:val="000000"/>
                <w:sz w:val="22"/>
                <w:szCs w:val="22"/>
              </w:rPr>
              <w:t>n/a</w:t>
            </w:r>
          </w:p>
        </w:tc>
        <w:tc>
          <w:tcPr>
            <w:tcW w:w="2547" w:type="dxa"/>
            <w:vAlign w:val="bottom"/>
          </w:tcPr>
          <w:p w:rsidR="00B003CD" w:rsidRPr="00161C1B" w:rsidRDefault="00B003CD" w:rsidP="00895231">
            <w:pPr>
              <w:jc w:val="center"/>
              <w:rPr>
                <w:color w:val="000000"/>
                <w:sz w:val="22"/>
                <w:szCs w:val="22"/>
              </w:rPr>
            </w:pPr>
            <w:r w:rsidRPr="00161C1B">
              <w:rPr>
                <w:color w:val="000000"/>
                <w:sz w:val="22"/>
                <w:szCs w:val="22"/>
              </w:rPr>
              <w:t>21.2</w:t>
            </w:r>
          </w:p>
        </w:tc>
        <w:tc>
          <w:tcPr>
            <w:tcW w:w="2161" w:type="dxa"/>
            <w:vAlign w:val="bottom"/>
          </w:tcPr>
          <w:p w:rsidR="00B003CD" w:rsidRPr="00161C1B" w:rsidRDefault="00B003CD" w:rsidP="00895231">
            <w:pPr>
              <w:jc w:val="center"/>
              <w:rPr>
                <w:color w:val="000000"/>
                <w:sz w:val="22"/>
                <w:szCs w:val="22"/>
              </w:rPr>
            </w:pPr>
            <w:r w:rsidRPr="00161C1B">
              <w:rPr>
                <w:color w:val="000000"/>
                <w:sz w:val="22"/>
                <w:szCs w:val="22"/>
              </w:rPr>
              <w:t>9.2</w:t>
            </w:r>
          </w:p>
        </w:tc>
      </w:tr>
      <w:tr w:rsidR="00B003CD" w:rsidRPr="00161C1B" w:rsidTr="00895231">
        <w:tc>
          <w:tcPr>
            <w:tcW w:w="1668" w:type="dxa"/>
          </w:tcPr>
          <w:p w:rsidR="00B003CD" w:rsidRPr="00161C1B" w:rsidRDefault="00B003CD" w:rsidP="00895231">
            <w:pPr>
              <w:jc w:val="center"/>
              <w:rPr>
                <w:b/>
                <w:sz w:val="22"/>
                <w:szCs w:val="22"/>
                <w:lang w:val="en-US"/>
              </w:rPr>
            </w:pPr>
            <w:r w:rsidRPr="00161C1B">
              <w:rPr>
                <w:b/>
                <w:sz w:val="22"/>
                <w:szCs w:val="22"/>
                <w:lang w:val="en-US"/>
              </w:rPr>
              <w:t>ENEP</w:t>
            </w:r>
          </w:p>
        </w:tc>
        <w:tc>
          <w:tcPr>
            <w:tcW w:w="2268" w:type="dxa"/>
            <w:vAlign w:val="bottom"/>
          </w:tcPr>
          <w:p w:rsidR="00B003CD" w:rsidRPr="00161C1B" w:rsidRDefault="00B003CD" w:rsidP="00895231">
            <w:pPr>
              <w:jc w:val="center"/>
              <w:rPr>
                <w:color w:val="000000"/>
                <w:sz w:val="22"/>
                <w:szCs w:val="22"/>
              </w:rPr>
            </w:pPr>
            <w:r w:rsidRPr="00161C1B">
              <w:rPr>
                <w:color w:val="000000"/>
                <w:sz w:val="22"/>
                <w:szCs w:val="22"/>
              </w:rPr>
              <w:t>5.7</w:t>
            </w:r>
          </w:p>
        </w:tc>
        <w:tc>
          <w:tcPr>
            <w:tcW w:w="2547" w:type="dxa"/>
            <w:vAlign w:val="bottom"/>
          </w:tcPr>
          <w:p w:rsidR="00B003CD" w:rsidRPr="00161C1B" w:rsidRDefault="00B003CD" w:rsidP="00895231">
            <w:pPr>
              <w:jc w:val="center"/>
              <w:rPr>
                <w:color w:val="000000"/>
                <w:sz w:val="22"/>
                <w:szCs w:val="22"/>
              </w:rPr>
            </w:pPr>
            <w:r w:rsidRPr="00161C1B">
              <w:rPr>
                <w:color w:val="000000"/>
                <w:sz w:val="22"/>
                <w:szCs w:val="22"/>
              </w:rPr>
              <w:t>4.2</w:t>
            </w:r>
          </w:p>
        </w:tc>
        <w:tc>
          <w:tcPr>
            <w:tcW w:w="2161" w:type="dxa"/>
            <w:vAlign w:val="bottom"/>
          </w:tcPr>
          <w:p w:rsidR="00B003CD" w:rsidRPr="00161C1B" w:rsidRDefault="00B003CD" w:rsidP="00895231">
            <w:pPr>
              <w:jc w:val="center"/>
              <w:rPr>
                <w:color w:val="000000"/>
                <w:sz w:val="22"/>
                <w:szCs w:val="22"/>
              </w:rPr>
            </w:pPr>
            <w:r w:rsidRPr="00161C1B">
              <w:rPr>
                <w:color w:val="000000"/>
                <w:sz w:val="22"/>
                <w:szCs w:val="22"/>
              </w:rPr>
              <w:t>3.6</w:t>
            </w:r>
          </w:p>
        </w:tc>
      </w:tr>
      <w:tr w:rsidR="00B003CD" w:rsidRPr="00161C1B" w:rsidTr="00895231">
        <w:tc>
          <w:tcPr>
            <w:tcW w:w="1668" w:type="dxa"/>
          </w:tcPr>
          <w:p w:rsidR="00B003CD" w:rsidRPr="00161C1B" w:rsidRDefault="00B003CD" w:rsidP="00895231">
            <w:pPr>
              <w:jc w:val="center"/>
              <w:rPr>
                <w:b/>
                <w:sz w:val="22"/>
                <w:szCs w:val="22"/>
                <w:lang w:val="en-US"/>
              </w:rPr>
            </w:pPr>
            <w:r w:rsidRPr="00161C1B">
              <w:rPr>
                <w:b/>
                <w:sz w:val="22"/>
                <w:szCs w:val="22"/>
                <w:lang w:val="en-US"/>
              </w:rPr>
              <w:t>ENPP</w:t>
            </w:r>
          </w:p>
        </w:tc>
        <w:tc>
          <w:tcPr>
            <w:tcW w:w="2268" w:type="dxa"/>
            <w:vAlign w:val="bottom"/>
          </w:tcPr>
          <w:p w:rsidR="00B003CD" w:rsidRPr="00161C1B" w:rsidRDefault="00B003CD" w:rsidP="00895231">
            <w:pPr>
              <w:jc w:val="center"/>
              <w:rPr>
                <w:color w:val="000000"/>
                <w:sz w:val="22"/>
                <w:szCs w:val="22"/>
              </w:rPr>
            </w:pPr>
            <w:r w:rsidRPr="00161C1B">
              <w:rPr>
                <w:color w:val="000000"/>
                <w:sz w:val="22"/>
                <w:szCs w:val="22"/>
              </w:rPr>
              <w:t>4.7</w:t>
            </w:r>
          </w:p>
        </w:tc>
        <w:tc>
          <w:tcPr>
            <w:tcW w:w="2547" w:type="dxa"/>
            <w:vAlign w:val="bottom"/>
          </w:tcPr>
          <w:p w:rsidR="00B003CD" w:rsidRPr="00161C1B" w:rsidRDefault="00B003CD" w:rsidP="00895231">
            <w:pPr>
              <w:jc w:val="center"/>
              <w:rPr>
                <w:color w:val="000000"/>
                <w:sz w:val="22"/>
                <w:szCs w:val="22"/>
              </w:rPr>
            </w:pPr>
            <w:r w:rsidRPr="00161C1B">
              <w:rPr>
                <w:color w:val="000000"/>
                <w:sz w:val="22"/>
                <w:szCs w:val="22"/>
              </w:rPr>
              <w:t>3.6</w:t>
            </w:r>
          </w:p>
        </w:tc>
        <w:tc>
          <w:tcPr>
            <w:tcW w:w="2161" w:type="dxa"/>
            <w:vAlign w:val="bottom"/>
          </w:tcPr>
          <w:p w:rsidR="00B003CD" w:rsidRPr="00161C1B" w:rsidRDefault="00B003CD" w:rsidP="00895231">
            <w:pPr>
              <w:jc w:val="center"/>
              <w:rPr>
                <w:color w:val="000000"/>
                <w:sz w:val="22"/>
                <w:szCs w:val="22"/>
              </w:rPr>
            </w:pPr>
            <w:r w:rsidRPr="00161C1B">
              <w:rPr>
                <w:color w:val="000000"/>
                <w:sz w:val="22"/>
                <w:szCs w:val="22"/>
              </w:rPr>
              <w:t>3.1</w:t>
            </w:r>
          </w:p>
        </w:tc>
      </w:tr>
      <w:tr w:rsidR="00B003CD" w:rsidRPr="00161C1B" w:rsidTr="00895231">
        <w:tc>
          <w:tcPr>
            <w:tcW w:w="1668" w:type="dxa"/>
          </w:tcPr>
          <w:p w:rsidR="00B003CD" w:rsidRPr="00161C1B" w:rsidRDefault="00B003CD" w:rsidP="00895231">
            <w:pPr>
              <w:jc w:val="center"/>
              <w:rPr>
                <w:b/>
                <w:sz w:val="22"/>
                <w:szCs w:val="22"/>
                <w:lang w:val="en-US"/>
              </w:rPr>
            </w:pPr>
            <w:r w:rsidRPr="00161C1B">
              <w:rPr>
                <w:b/>
                <w:sz w:val="22"/>
                <w:szCs w:val="22"/>
                <w:lang w:val="en-US"/>
              </w:rPr>
              <w:t>Spoiled ballots</w:t>
            </w:r>
          </w:p>
        </w:tc>
        <w:tc>
          <w:tcPr>
            <w:tcW w:w="2268" w:type="dxa"/>
          </w:tcPr>
          <w:p w:rsidR="00B003CD" w:rsidRPr="00161C1B" w:rsidRDefault="00B003CD" w:rsidP="00895231">
            <w:pPr>
              <w:jc w:val="center"/>
              <w:rPr>
                <w:sz w:val="22"/>
                <w:szCs w:val="22"/>
                <w:lang w:val="en-US"/>
              </w:rPr>
            </w:pPr>
            <w:r w:rsidRPr="00161C1B">
              <w:rPr>
                <w:sz w:val="22"/>
                <w:szCs w:val="22"/>
                <w:lang w:val="en-US"/>
              </w:rPr>
              <w:t>3.1</w:t>
            </w:r>
          </w:p>
        </w:tc>
        <w:tc>
          <w:tcPr>
            <w:tcW w:w="2547" w:type="dxa"/>
          </w:tcPr>
          <w:p w:rsidR="00B003CD" w:rsidRPr="00161C1B" w:rsidRDefault="00B003CD" w:rsidP="00895231">
            <w:pPr>
              <w:jc w:val="center"/>
              <w:rPr>
                <w:sz w:val="22"/>
                <w:szCs w:val="22"/>
                <w:lang w:val="en-US"/>
              </w:rPr>
            </w:pPr>
            <w:r w:rsidRPr="00161C1B">
              <w:rPr>
                <w:sz w:val="22"/>
                <w:szCs w:val="22"/>
                <w:lang w:val="en-US"/>
              </w:rPr>
              <w:t>3.3</w:t>
            </w:r>
          </w:p>
        </w:tc>
        <w:tc>
          <w:tcPr>
            <w:tcW w:w="2161" w:type="dxa"/>
          </w:tcPr>
          <w:p w:rsidR="00B003CD" w:rsidRPr="00161C1B" w:rsidRDefault="00B003CD" w:rsidP="00895231">
            <w:pPr>
              <w:jc w:val="center"/>
              <w:rPr>
                <w:sz w:val="22"/>
                <w:szCs w:val="22"/>
                <w:lang w:val="en-US"/>
              </w:rPr>
            </w:pPr>
            <w:r w:rsidRPr="00161C1B">
              <w:rPr>
                <w:sz w:val="22"/>
                <w:szCs w:val="22"/>
                <w:lang w:val="en-US"/>
              </w:rPr>
              <w:t>3.8</w:t>
            </w:r>
          </w:p>
        </w:tc>
      </w:tr>
      <w:tr w:rsidR="00B003CD" w:rsidRPr="00161C1B" w:rsidTr="00895231">
        <w:tc>
          <w:tcPr>
            <w:tcW w:w="1668" w:type="dxa"/>
          </w:tcPr>
          <w:p w:rsidR="00B003CD" w:rsidRPr="00161C1B" w:rsidRDefault="00B003CD" w:rsidP="00895231">
            <w:pPr>
              <w:jc w:val="center"/>
              <w:rPr>
                <w:b/>
                <w:sz w:val="22"/>
                <w:szCs w:val="22"/>
                <w:lang w:val="en-US"/>
              </w:rPr>
            </w:pPr>
            <w:r w:rsidRPr="00161C1B">
              <w:rPr>
                <w:b/>
                <w:sz w:val="22"/>
                <w:szCs w:val="22"/>
                <w:lang w:val="en-US"/>
              </w:rPr>
              <w:t>Polarization</w:t>
            </w:r>
          </w:p>
        </w:tc>
        <w:tc>
          <w:tcPr>
            <w:tcW w:w="2268" w:type="dxa"/>
          </w:tcPr>
          <w:p w:rsidR="00B003CD" w:rsidRPr="00161C1B" w:rsidRDefault="00B003CD" w:rsidP="00895231">
            <w:pPr>
              <w:jc w:val="center"/>
              <w:rPr>
                <w:sz w:val="22"/>
                <w:szCs w:val="22"/>
                <w:lang w:val="en-US"/>
              </w:rPr>
            </w:pPr>
            <w:r w:rsidRPr="00161C1B">
              <w:rPr>
                <w:sz w:val="22"/>
                <w:szCs w:val="22"/>
                <w:lang w:val="en-US"/>
              </w:rPr>
              <w:t>0.28</w:t>
            </w:r>
          </w:p>
        </w:tc>
        <w:tc>
          <w:tcPr>
            <w:tcW w:w="2547" w:type="dxa"/>
          </w:tcPr>
          <w:p w:rsidR="00B003CD" w:rsidRPr="00161C1B" w:rsidRDefault="00B003CD" w:rsidP="00895231">
            <w:pPr>
              <w:jc w:val="center"/>
              <w:rPr>
                <w:sz w:val="22"/>
                <w:szCs w:val="22"/>
                <w:lang w:val="en-US"/>
              </w:rPr>
            </w:pPr>
            <w:r w:rsidRPr="00161C1B">
              <w:rPr>
                <w:sz w:val="22"/>
                <w:szCs w:val="22"/>
                <w:lang w:val="en-US"/>
              </w:rPr>
              <w:t>0.28</w:t>
            </w:r>
          </w:p>
        </w:tc>
        <w:tc>
          <w:tcPr>
            <w:tcW w:w="2161" w:type="dxa"/>
          </w:tcPr>
          <w:p w:rsidR="00B003CD" w:rsidRPr="00161C1B" w:rsidRDefault="00B003CD" w:rsidP="00895231">
            <w:pPr>
              <w:jc w:val="center"/>
              <w:rPr>
                <w:sz w:val="22"/>
                <w:szCs w:val="22"/>
                <w:lang w:val="en-US"/>
              </w:rPr>
            </w:pPr>
            <w:r w:rsidRPr="00161C1B">
              <w:rPr>
                <w:sz w:val="22"/>
                <w:szCs w:val="22"/>
                <w:lang w:val="en-US"/>
              </w:rPr>
              <w:t>0.27</w:t>
            </w:r>
          </w:p>
        </w:tc>
      </w:tr>
      <w:tr w:rsidR="00B003CD" w:rsidRPr="00161C1B" w:rsidTr="00895231">
        <w:tc>
          <w:tcPr>
            <w:tcW w:w="1668" w:type="dxa"/>
            <w:vMerge w:val="restart"/>
          </w:tcPr>
          <w:p w:rsidR="00B003CD" w:rsidRPr="00161C1B" w:rsidRDefault="00B003CD" w:rsidP="00895231">
            <w:pPr>
              <w:jc w:val="center"/>
              <w:rPr>
                <w:b/>
                <w:sz w:val="22"/>
                <w:szCs w:val="22"/>
                <w:lang w:val="en-US"/>
              </w:rPr>
            </w:pPr>
            <w:r w:rsidRPr="00161C1B">
              <w:rPr>
                <w:b/>
                <w:sz w:val="22"/>
                <w:szCs w:val="22"/>
                <w:lang w:val="en-US"/>
              </w:rPr>
              <w:t>Cabinets</w:t>
            </w:r>
          </w:p>
        </w:tc>
        <w:tc>
          <w:tcPr>
            <w:tcW w:w="2268" w:type="dxa"/>
            <w:vMerge w:val="restart"/>
          </w:tcPr>
          <w:p w:rsidR="00B003CD" w:rsidRPr="00161C1B" w:rsidRDefault="00B003CD" w:rsidP="00895231">
            <w:pPr>
              <w:jc w:val="center"/>
              <w:rPr>
                <w:sz w:val="22"/>
                <w:szCs w:val="22"/>
                <w:lang w:val="en-US"/>
              </w:rPr>
            </w:pPr>
            <w:r w:rsidRPr="00161C1B">
              <w:rPr>
                <w:sz w:val="22"/>
                <w:szCs w:val="22"/>
                <w:lang w:val="en-US"/>
              </w:rPr>
              <w:t>CDU/CSU-FDP-DP</w:t>
            </w:r>
          </w:p>
        </w:tc>
        <w:tc>
          <w:tcPr>
            <w:tcW w:w="2547" w:type="dxa"/>
          </w:tcPr>
          <w:p w:rsidR="00B003CD" w:rsidRPr="00161C1B" w:rsidRDefault="00B003CD" w:rsidP="00895231">
            <w:pPr>
              <w:jc w:val="center"/>
              <w:rPr>
                <w:sz w:val="22"/>
                <w:szCs w:val="22"/>
                <w:lang w:val="en-US"/>
              </w:rPr>
            </w:pPr>
            <w:r w:rsidRPr="00161C1B">
              <w:rPr>
                <w:sz w:val="22"/>
                <w:szCs w:val="22"/>
                <w:lang w:val="en-US"/>
              </w:rPr>
              <w:t>CDU/CSU-FDP-DP-GB</w:t>
            </w:r>
          </w:p>
        </w:tc>
        <w:tc>
          <w:tcPr>
            <w:tcW w:w="2161" w:type="dxa"/>
          </w:tcPr>
          <w:p w:rsidR="00B003CD" w:rsidRPr="00161C1B" w:rsidRDefault="00B003CD" w:rsidP="00895231">
            <w:pPr>
              <w:jc w:val="center"/>
              <w:rPr>
                <w:sz w:val="22"/>
                <w:szCs w:val="22"/>
                <w:lang w:val="en-US"/>
              </w:rPr>
            </w:pPr>
            <w:r w:rsidRPr="00161C1B">
              <w:rPr>
                <w:sz w:val="22"/>
                <w:szCs w:val="22"/>
                <w:lang w:val="en-US"/>
              </w:rPr>
              <w:t>CDU/CSU-DP</w:t>
            </w:r>
          </w:p>
        </w:tc>
      </w:tr>
      <w:tr w:rsidR="00B003CD" w:rsidRPr="00161C1B" w:rsidTr="00895231">
        <w:tc>
          <w:tcPr>
            <w:tcW w:w="1668" w:type="dxa"/>
            <w:vMerge/>
          </w:tcPr>
          <w:p w:rsidR="00B003CD" w:rsidRPr="00161C1B" w:rsidRDefault="00B003CD" w:rsidP="00895231">
            <w:pPr>
              <w:jc w:val="center"/>
              <w:rPr>
                <w:sz w:val="22"/>
                <w:szCs w:val="22"/>
                <w:lang w:val="en-US"/>
              </w:rPr>
            </w:pPr>
          </w:p>
        </w:tc>
        <w:tc>
          <w:tcPr>
            <w:tcW w:w="2268" w:type="dxa"/>
            <w:vMerge/>
          </w:tcPr>
          <w:p w:rsidR="00B003CD" w:rsidRPr="00161C1B" w:rsidRDefault="00B003CD" w:rsidP="00895231">
            <w:pPr>
              <w:jc w:val="center"/>
              <w:rPr>
                <w:sz w:val="22"/>
                <w:szCs w:val="22"/>
                <w:lang w:val="en-US"/>
              </w:rPr>
            </w:pPr>
          </w:p>
        </w:tc>
        <w:tc>
          <w:tcPr>
            <w:tcW w:w="2547" w:type="dxa"/>
          </w:tcPr>
          <w:p w:rsidR="00B003CD" w:rsidRPr="00161C1B" w:rsidRDefault="00B003CD" w:rsidP="00895231">
            <w:pPr>
              <w:jc w:val="center"/>
              <w:rPr>
                <w:sz w:val="22"/>
                <w:szCs w:val="22"/>
                <w:lang w:val="en-US"/>
              </w:rPr>
            </w:pPr>
            <w:r w:rsidRPr="00161C1B">
              <w:rPr>
                <w:sz w:val="22"/>
                <w:szCs w:val="22"/>
                <w:lang w:val="en-US"/>
              </w:rPr>
              <w:t>CDU/CSU-FDP-DP</w:t>
            </w:r>
          </w:p>
        </w:tc>
        <w:tc>
          <w:tcPr>
            <w:tcW w:w="2161" w:type="dxa"/>
          </w:tcPr>
          <w:p w:rsidR="00B003CD" w:rsidRPr="00161C1B" w:rsidRDefault="00B003CD" w:rsidP="00895231">
            <w:pPr>
              <w:jc w:val="center"/>
              <w:rPr>
                <w:sz w:val="22"/>
                <w:szCs w:val="22"/>
                <w:lang w:val="en-US"/>
              </w:rPr>
            </w:pPr>
            <w:r w:rsidRPr="00161C1B">
              <w:rPr>
                <w:sz w:val="22"/>
                <w:szCs w:val="22"/>
                <w:lang w:val="en-US"/>
              </w:rPr>
              <w:t>CDU/CSU</w:t>
            </w:r>
          </w:p>
        </w:tc>
      </w:tr>
    </w:tbl>
    <w:p w:rsidR="00B003CD" w:rsidRDefault="00B003CD" w:rsidP="00B003CD">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i/>
          <w:lang w:val="en-US"/>
        </w:rPr>
        <w:t>Sources</w:t>
      </w:r>
      <w:r w:rsidRPr="00161C1B">
        <w:rPr>
          <w:rFonts w:ascii="Times New Roman" w:hAnsi="Times New Roman" w:cs="Times New Roman"/>
          <w:lang w:val="en-US"/>
        </w:rPr>
        <w:t xml:space="preserve">: </w:t>
      </w:r>
      <w:proofErr w:type="spellStart"/>
      <w:r w:rsidRPr="00161C1B">
        <w:rPr>
          <w:rFonts w:ascii="Times New Roman" w:hAnsi="Times New Roman" w:cs="Times New Roman"/>
          <w:lang w:val="en-US"/>
        </w:rPr>
        <w:t>Bartolini</w:t>
      </w:r>
      <w:proofErr w:type="spellEnd"/>
      <w:r w:rsidRPr="00161C1B">
        <w:rPr>
          <w:rFonts w:ascii="Times New Roman" w:hAnsi="Times New Roman" w:cs="Times New Roman"/>
          <w:lang w:val="en-US"/>
        </w:rPr>
        <w:t xml:space="preserve"> and </w:t>
      </w:r>
      <w:proofErr w:type="spellStart"/>
      <w:r w:rsidRPr="00161C1B">
        <w:rPr>
          <w:rFonts w:ascii="Times New Roman" w:hAnsi="Times New Roman" w:cs="Times New Roman"/>
          <w:lang w:val="en-US"/>
        </w:rPr>
        <w:t>Mair</w:t>
      </w:r>
      <w:proofErr w:type="spellEnd"/>
      <w:r w:rsidRPr="00161C1B">
        <w:rPr>
          <w:rFonts w:ascii="Times New Roman" w:hAnsi="Times New Roman" w:cs="Times New Roman"/>
          <w:lang w:val="en-US"/>
        </w:rPr>
        <w:t xml:space="preserve"> (1990) for TEV; Gallagher (2014) for ENEP/ENPP; </w:t>
      </w:r>
      <w:proofErr w:type="spellStart"/>
      <w:r w:rsidRPr="00161C1B">
        <w:rPr>
          <w:rFonts w:ascii="Times New Roman" w:hAnsi="Times New Roman" w:cs="Times New Roman"/>
          <w:lang w:val="en-US"/>
        </w:rPr>
        <w:t>Döring</w:t>
      </w:r>
      <w:proofErr w:type="spellEnd"/>
      <w:r w:rsidRPr="00161C1B">
        <w:rPr>
          <w:rFonts w:ascii="Times New Roman" w:hAnsi="Times New Roman" w:cs="Times New Roman"/>
          <w:lang w:val="en-US"/>
        </w:rPr>
        <w:t xml:space="preserve"> and </w:t>
      </w:r>
      <w:proofErr w:type="spellStart"/>
      <w:r w:rsidRPr="00161C1B">
        <w:rPr>
          <w:rFonts w:ascii="Times New Roman" w:hAnsi="Times New Roman" w:cs="Times New Roman"/>
          <w:lang w:val="en-US"/>
        </w:rPr>
        <w:t>Manow</w:t>
      </w:r>
      <w:proofErr w:type="spellEnd"/>
      <w:r w:rsidRPr="00161C1B">
        <w:rPr>
          <w:rFonts w:ascii="Times New Roman" w:hAnsi="Times New Roman" w:cs="Times New Roman"/>
          <w:lang w:val="en-US"/>
        </w:rPr>
        <w:t xml:space="preserve"> (2012) </w:t>
      </w:r>
    </w:p>
    <w:p w:rsidR="00B003CD" w:rsidRDefault="00B003CD" w:rsidP="00B003CD">
      <w:pPr>
        <w:spacing w:after="0" w:line="360" w:lineRule="auto"/>
        <w:jc w:val="both"/>
        <w:rPr>
          <w:rFonts w:ascii="Times New Roman" w:hAnsi="Times New Roman" w:cs="Times New Roman"/>
          <w:sz w:val="24"/>
          <w:szCs w:val="24"/>
          <w:lang w:val="en-US"/>
        </w:rPr>
      </w:pPr>
    </w:p>
    <w:p w:rsidR="00B003CD" w:rsidRPr="00161C1B" w:rsidRDefault="00B003CD" w:rsidP="00B003CD">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Table 4 displays the most important characteristics of the German party system between 1949 and 1957, including ideological polarization.</w:t>
      </w:r>
      <w:r w:rsidRPr="00161C1B">
        <w:rPr>
          <w:rStyle w:val="FootnoteReference"/>
          <w:rFonts w:ascii="Times New Roman" w:hAnsi="Times New Roman" w:cs="Times New Roman"/>
          <w:sz w:val="24"/>
          <w:szCs w:val="24"/>
          <w:lang w:val="en-US"/>
        </w:rPr>
        <w:footnoteReference w:id="8"/>
      </w:r>
      <w:r w:rsidRPr="00161C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shows that </w:t>
      </w:r>
      <w:r w:rsidRPr="00161C1B">
        <w:rPr>
          <w:rFonts w:ascii="Times New Roman" w:hAnsi="Times New Roman" w:cs="Times New Roman"/>
          <w:sz w:val="24"/>
          <w:szCs w:val="24"/>
          <w:lang w:val="en-US"/>
        </w:rPr>
        <w:t xml:space="preserve">almost all the systemic indicators moved as </w:t>
      </w:r>
      <w:r>
        <w:rPr>
          <w:rFonts w:ascii="Times New Roman" w:hAnsi="Times New Roman" w:cs="Times New Roman"/>
          <w:sz w:val="24"/>
          <w:szCs w:val="24"/>
          <w:lang w:val="en-US"/>
        </w:rPr>
        <w:t>the theory predicts</w:t>
      </w:r>
      <w:r w:rsidRPr="00161C1B">
        <w:rPr>
          <w:rFonts w:ascii="Times New Roman" w:hAnsi="Times New Roman" w:cs="Times New Roman"/>
          <w:sz w:val="24"/>
          <w:szCs w:val="24"/>
          <w:lang w:val="en-US"/>
        </w:rPr>
        <w:t xml:space="preserve">. In particular, the disappearance of the KPD from the German electoral spectrum not only reduced the number of electoral and legislative parties, but increased the number of spoiled </w:t>
      </w:r>
      <w:r w:rsidRPr="00161C1B">
        <w:rPr>
          <w:rFonts w:ascii="Times New Roman" w:hAnsi="Times New Roman" w:cs="Times New Roman"/>
          <w:sz w:val="24"/>
          <w:szCs w:val="24"/>
          <w:lang w:val="en-US"/>
        </w:rPr>
        <w:lastRenderedPageBreak/>
        <w:t>ballots. Moreover, it contributed to reduc</w:t>
      </w:r>
      <w:r>
        <w:rPr>
          <w:rFonts w:ascii="Times New Roman" w:hAnsi="Times New Roman" w:cs="Times New Roman"/>
          <w:sz w:val="24"/>
          <w:szCs w:val="24"/>
          <w:lang w:val="en-US"/>
        </w:rPr>
        <w:t xml:space="preserve">ing </w:t>
      </w:r>
      <w:r w:rsidRPr="00161C1B">
        <w:rPr>
          <w:rFonts w:ascii="Times New Roman" w:hAnsi="Times New Roman" w:cs="Times New Roman"/>
          <w:sz w:val="24"/>
          <w:szCs w:val="24"/>
          <w:lang w:val="en-US"/>
        </w:rPr>
        <w:t>the ideological distance between the German parties (Müller 1993: 421), easing centripetal tendencies which would finally end with collapse of the more extreme right-wing parties (</w:t>
      </w:r>
      <w:r w:rsidR="00057775">
        <w:rPr>
          <w:rFonts w:ascii="Times New Roman" w:hAnsi="Times New Roman" w:cs="Times New Roman"/>
          <w:sz w:val="24"/>
          <w:szCs w:val="24"/>
          <w:lang w:val="en-US"/>
        </w:rPr>
        <w:t>The German Party (</w:t>
      </w:r>
      <w:r w:rsidRPr="00161C1B">
        <w:rPr>
          <w:rFonts w:ascii="Times New Roman" w:hAnsi="Times New Roman" w:cs="Times New Roman"/>
          <w:sz w:val="24"/>
          <w:szCs w:val="24"/>
          <w:lang w:val="en-US"/>
        </w:rPr>
        <w:t>DP</w:t>
      </w:r>
      <w:r w:rsidR="00057775">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and </w:t>
      </w:r>
      <w:r w:rsidR="00057775">
        <w:rPr>
          <w:rFonts w:ascii="Times New Roman" w:hAnsi="Times New Roman" w:cs="Times New Roman"/>
          <w:sz w:val="24"/>
          <w:szCs w:val="24"/>
          <w:lang w:val="en-US"/>
        </w:rPr>
        <w:t>German Community/Federation of Expellees and Disenfranchised (</w:t>
      </w:r>
      <w:r w:rsidRPr="00161C1B">
        <w:rPr>
          <w:rFonts w:ascii="Times New Roman" w:hAnsi="Times New Roman" w:cs="Times New Roman"/>
          <w:sz w:val="24"/>
          <w:szCs w:val="24"/>
          <w:lang w:val="en-US"/>
        </w:rPr>
        <w:t>GB/BHE)</w:t>
      </w:r>
      <w:r w:rsidR="00057775">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and the formation of the three party system</w:t>
      </w:r>
      <w:r>
        <w:rPr>
          <w:rFonts w:ascii="Times New Roman" w:hAnsi="Times New Roman" w:cs="Times New Roman"/>
          <w:sz w:val="24"/>
          <w:szCs w:val="24"/>
          <w:lang w:val="en-US"/>
        </w:rPr>
        <w:t xml:space="preserve"> </w:t>
      </w:r>
      <w:r w:rsidRPr="00161C1B">
        <w:rPr>
          <w:rFonts w:ascii="Times New Roman" w:hAnsi="Times New Roman" w:cs="Times New Roman"/>
          <w:sz w:val="24"/>
          <w:szCs w:val="24"/>
          <w:lang w:val="en-US"/>
        </w:rPr>
        <w:t xml:space="preserve"> pitting the Christian Democrats (CDU/CSU) on the right and the Socialists (SPD) on the left with the liberals (FDP) as a hinge party.</w:t>
      </w:r>
    </w:p>
    <w:p w:rsidR="00B003CD" w:rsidRDefault="00B003CD" w:rsidP="00B003CD">
      <w:pPr>
        <w:spacing w:after="0" w:line="360" w:lineRule="auto"/>
        <w:jc w:val="both"/>
        <w:rPr>
          <w:rFonts w:ascii="Times New Roman" w:hAnsi="Times New Roman" w:cs="Times New Roman"/>
          <w:sz w:val="24"/>
          <w:szCs w:val="24"/>
          <w:lang w:val="en-US"/>
        </w:rPr>
      </w:pPr>
    </w:p>
    <w:p w:rsidR="00B003CD" w:rsidRPr="00161C1B" w:rsidRDefault="00B003CD" w:rsidP="00B003CD">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The contribution of the judicial dissolution of the KPD to the consolidation of the German party system should, however, not be exaggerated. </w:t>
      </w:r>
      <w:r w:rsidR="00057775">
        <w:rPr>
          <w:rFonts w:ascii="Times New Roman" w:hAnsi="Times New Roman" w:cs="Times New Roman"/>
          <w:sz w:val="24"/>
          <w:szCs w:val="24"/>
          <w:lang w:val="en-US"/>
        </w:rPr>
        <w:t>T</w:t>
      </w:r>
      <w:r w:rsidRPr="00161C1B">
        <w:rPr>
          <w:rFonts w:ascii="Times New Roman" w:hAnsi="Times New Roman" w:cs="Times New Roman"/>
          <w:sz w:val="24"/>
          <w:szCs w:val="24"/>
          <w:lang w:val="en-US"/>
        </w:rPr>
        <w:t xml:space="preserve">he Communists only managed to attract </w:t>
      </w:r>
      <w:r w:rsidR="00057775">
        <w:rPr>
          <w:rFonts w:ascii="Times New Roman" w:hAnsi="Times New Roman" w:cs="Times New Roman"/>
          <w:sz w:val="24"/>
          <w:szCs w:val="24"/>
          <w:lang w:val="en-US"/>
        </w:rPr>
        <w:t xml:space="preserve">around </w:t>
      </w:r>
      <w:r w:rsidRPr="00161C1B">
        <w:rPr>
          <w:rFonts w:ascii="Times New Roman" w:hAnsi="Times New Roman" w:cs="Times New Roman"/>
          <w:sz w:val="24"/>
          <w:szCs w:val="24"/>
          <w:lang w:val="en-US"/>
        </w:rPr>
        <w:t>half</w:t>
      </w:r>
      <w:r w:rsidR="00057775">
        <w:rPr>
          <w:rFonts w:ascii="Times New Roman" w:hAnsi="Times New Roman" w:cs="Times New Roman"/>
          <w:sz w:val="24"/>
          <w:szCs w:val="24"/>
          <w:lang w:val="en-US"/>
        </w:rPr>
        <w:t xml:space="preserve"> a </w:t>
      </w:r>
      <w:r w:rsidRPr="00161C1B">
        <w:rPr>
          <w:rFonts w:ascii="Times New Roman" w:hAnsi="Times New Roman" w:cs="Times New Roman"/>
          <w:sz w:val="24"/>
          <w:szCs w:val="24"/>
          <w:lang w:val="en-US"/>
        </w:rPr>
        <w:t>million votes in the 1953 elections. As a result, their contribution to electoral instability between 1953 and 1957 was minimal: namely, 1.1 percent. Clearly counteracted by the great stabilization of the Christian Democrat electorate (</w:t>
      </w:r>
      <w:proofErr w:type="spellStart"/>
      <w:r w:rsidRPr="00161C1B">
        <w:rPr>
          <w:rFonts w:ascii="Times New Roman" w:hAnsi="Times New Roman" w:cs="Times New Roman"/>
          <w:sz w:val="24"/>
          <w:szCs w:val="24"/>
          <w:lang w:val="en-US"/>
        </w:rPr>
        <w:t>Bartolini</w:t>
      </w:r>
      <w:proofErr w:type="spellEnd"/>
      <w:r w:rsidRPr="00161C1B">
        <w:rPr>
          <w:rFonts w:ascii="Times New Roman" w:hAnsi="Times New Roman" w:cs="Times New Roman"/>
          <w:sz w:val="24"/>
          <w:szCs w:val="24"/>
          <w:lang w:val="en-US"/>
        </w:rPr>
        <w:t xml:space="preserve"> and </w:t>
      </w:r>
      <w:proofErr w:type="spellStart"/>
      <w:r w:rsidRPr="00161C1B">
        <w:rPr>
          <w:rFonts w:ascii="Times New Roman" w:hAnsi="Times New Roman" w:cs="Times New Roman"/>
          <w:sz w:val="24"/>
          <w:szCs w:val="24"/>
          <w:lang w:val="en-US"/>
        </w:rPr>
        <w:t>Mair</w:t>
      </w:r>
      <w:proofErr w:type="spellEnd"/>
      <w:r w:rsidRPr="00161C1B">
        <w:rPr>
          <w:rFonts w:ascii="Times New Roman" w:hAnsi="Times New Roman" w:cs="Times New Roman"/>
          <w:sz w:val="24"/>
          <w:szCs w:val="24"/>
          <w:lang w:val="en-US"/>
        </w:rPr>
        <w:t xml:space="preserve">, 1990: 306), pointing to the conditional argument made </w:t>
      </w:r>
      <w:r w:rsidR="00057775">
        <w:rPr>
          <w:rFonts w:ascii="Times New Roman" w:hAnsi="Times New Roman" w:cs="Times New Roman"/>
          <w:sz w:val="24"/>
          <w:szCs w:val="24"/>
          <w:lang w:val="en-US"/>
        </w:rPr>
        <w:t xml:space="preserve">in the </w:t>
      </w:r>
      <w:r w:rsidRPr="00161C1B">
        <w:rPr>
          <w:rFonts w:ascii="Times New Roman" w:hAnsi="Times New Roman" w:cs="Times New Roman"/>
          <w:sz w:val="24"/>
          <w:szCs w:val="24"/>
          <w:lang w:val="en-US"/>
        </w:rPr>
        <w:t xml:space="preserve">theoretical framework: that is, for a party ban to have any </w:t>
      </w:r>
      <w:r w:rsidRPr="00161C1B">
        <w:rPr>
          <w:rFonts w:ascii="Times New Roman" w:hAnsi="Times New Roman" w:cs="Times New Roman"/>
          <w:i/>
          <w:sz w:val="24"/>
          <w:szCs w:val="24"/>
          <w:lang w:val="en-US"/>
        </w:rPr>
        <w:t>relevant</w:t>
      </w:r>
      <w:r w:rsidRPr="00161C1B">
        <w:rPr>
          <w:rFonts w:ascii="Times New Roman" w:hAnsi="Times New Roman" w:cs="Times New Roman"/>
          <w:sz w:val="24"/>
          <w:szCs w:val="24"/>
          <w:lang w:val="en-US"/>
        </w:rPr>
        <w:t xml:space="preserve"> impact in terms of party system development, the party prohibited needs also to be “relevant”. </w:t>
      </w:r>
      <w:r w:rsidR="00057775">
        <w:rPr>
          <w:rFonts w:ascii="Times New Roman" w:hAnsi="Times New Roman" w:cs="Times New Roman"/>
          <w:sz w:val="24"/>
          <w:szCs w:val="24"/>
          <w:lang w:val="en-US"/>
        </w:rPr>
        <w:t>T</w:t>
      </w:r>
      <w:r w:rsidRPr="00161C1B">
        <w:rPr>
          <w:rFonts w:ascii="Times New Roman" w:hAnsi="Times New Roman" w:cs="Times New Roman"/>
          <w:sz w:val="24"/>
          <w:szCs w:val="24"/>
          <w:lang w:val="en-US"/>
        </w:rPr>
        <w:t xml:space="preserve">his was the case </w:t>
      </w:r>
      <w:r w:rsidR="00057775">
        <w:rPr>
          <w:rFonts w:ascii="Times New Roman" w:hAnsi="Times New Roman" w:cs="Times New Roman"/>
          <w:sz w:val="24"/>
          <w:szCs w:val="24"/>
          <w:lang w:val="en-US"/>
        </w:rPr>
        <w:t xml:space="preserve">for </w:t>
      </w:r>
      <w:r w:rsidRPr="00161C1B">
        <w:rPr>
          <w:rFonts w:ascii="Times New Roman" w:hAnsi="Times New Roman" w:cs="Times New Roman"/>
          <w:sz w:val="24"/>
          <w:szCs w:val="24"/>
          <w:lang w:val="en-US"/>
        </w:rPr>
        <w:t>the SRP, but at the regional level.</w:t>
      </w:r>
    </w:p>
    <w:p w:rsidR="00B003CD" w:rsidRDefault="00B003CD" w:rsidP="00B003CD">
      <w:pPr>
        <w:spacing w:after="0" w:line="360" w:lineRule="auto"/>
        <w:jc w:val="both"/>
        <w:rPr>
          <w:rFonts w:ascii="Times New Roman" w:hAnsi="Times New Roman" w:cs="Times New Roman"/>
          <w:sz w:val="24"/>
          <w:szCs w:val="24"/>
          <w:lang w:val="en-US"/>
        </w:rPr>
      </w:pPr>
    </w:p>
    <w:p w:rsidR="00B003CD" w:rsidRDefault="00B003CD" w:rsidP="00B003CD">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Founded in 1952 by Otto E. </w:t>
      </w:r>
      <w:proofErr w:type="spellStart"/>
      <w:r w:rsidRPr="00161C1B">
        <w:rPr>
          <w:rFonts w:ascii="Times New Roman" w:hAnsi="Times New Roman" w:cs="Times New Roman"/>
          <w:sz w:val="24"/>
          <w:szCs w:val="24"/>
          <w:lang w:val="en-US"/>
        </w:rPr>
        <w:t>Remmer</w:t>
      </w:r>
      <w:proofErr w:type="spellEnd"/>
      <w:r w:rsidRPr="00161C1B">
        <w:rPr>
          <w:rFonts w:ascii="Times New Roman" w:hAnsi="Times New Roman" w:cs="Times New Roman"/>
          <w:sz w:val="24"/>
          <w:szCs w:val="24"/>
          <w:lang w:val="en-US"/>
        </w:rPr>
        <w:t>, a former (pro-Nazi) general, and certain elements of the right-wing German Reich Party (DRP), the SRP had its stronghold in Lower Saxony where at the 1951 regional (</w:t>
      </w:r>
      <w:r w:rsidRPr="00161C1B">
        <w:rPr>
          <w:rFonts w:ascii="Times New Roman" w:hAnsi="Times New Roman" w:cs="Times New Roman"/>
          <w:i/>
          <w:sz w:val="24"/>
          <w:szCs w:val="24"/>
          <w:lang w:val="en-US"/>
        </w:rPr>
        <w:t>Land</w:t>
      </w:r>
      <w:r w:rsidRPr="00161C1B">
        <w:rPr>
          <w:rFonts w:ascii="Times New Roman" w:hAnsi="Times New Roman" w:cs="Times New Roman"/>
          <w:sz w:val="24"/>
          <w:szCs w:val="24"/>
          <w:lang w:val="en-US"/>
        </w:rPr>
        <w:t>) elections managed to obtain 11 percent of the votes. As expected, both its irruption and its forced dismiss</w:t>
      </w:r>
      <w:r w:rsidR="00057775">
        <w:rPr>
          <w:rFonts w:ascii="Times New Roman" w:hAnsi="Times New Roman" w:cs="Times New Roman"/>
          <w:sz w:val="24"/>
          <w:szCs w:val="24"/>
          <w:lang w:val="en-US"/>
        </w:rPr>
        <w:t xml:space="preserve">al </w:t>
      </w:r>
      <w:r w:rsidRPr="00161C1B">
        <w:rPr>
          <w:rFonts w:ascii="Times New Roman" w:hAnsi="Times New Roman" w:cs="Times New Roman"/>
          <w:sz w:val="24"/>
          <w:szCs w:val="24"/>
          <w:lang w:val="en-US"/>
        </w:rPr>
        <w:t>constituted a shock for the Lower Saxon party system (see columns 2 and 3 in Table 5).</w:t>
      </w:r>
      <w:r w:rsidRPr="00161C1B">
        <w:rPr>
          <w:rStyle w:val="FootnoteReference"/>
          <w:rFonts w:ascii="Times New Roman" w:hAnsi="Times New Roman" w:cs="Times New Roman"/>
          <w:sz w:val="24"/>
          <w:szCs w:val="24"/>
          <w:lang w:val="en-US"/>
        </w:rPr>
        <w:footnoteReference w:id="9"/>
      </w:r>
      <w:r w:rsidRPr="00161C1B">
        <w:rPr>
          <w:rFonts w:ascii="Times New Roman" w:hAnsi="Times New Roman" w:cs="Times New Roman"/>
          <w:sz w:val="24"/>
          <w:szCs w:val="24"/>
          <w:lang w:val="en-US"/>
        </w:rPr>
        <w:t xml:space="preserve"> </w:t>
      </w:r>
      <w:r w:rsidR="00057775">
        <w:rPr>
          <w:rFonts w:ascii="Times New Roman" w:hAnsi="Times New Roman" w:cs="Times New Roman"/>
          <w:sz w:val="24"/>
          <w:szCs w:val="24"/>
          <w:lang w:val="en-US"/>
        </w:rPr>
        <w:t>I</w:t>
      </w:r>
      <w:r w:rsidRPr="00161C1B">
        <w:rPr>
          <w:rFonts w:ascii="Times New Roman" w:hAnsi="Times New Roman" w:cs="Times New Roman"/>
          <w:sz w:val="24"/>
          <w:szCs w:val="24"/>
          <w:lang w:val="en-US"/>
        </w:rPr>
        <w:t>n spite of the stabilization of both Socialists and Christian Democratic electorates, the judicial dissolution of the SRP contributed (with 5.5 points) to maintain</w:t>
      </w:r>
      <w:r w:rsidR="003D2729">
        <w:rPr>
          <w:rFonts w:ascii="Times New Roman" w:hAnsi="Times New Roman" w:cs="Times New Roman"/>
          <w:sz w:val="24"/>
          <w:szCs w:val="24"/>
          <w:lang w:val="en-US"/>
        </w:rPr>
        <w:t>ing</w:t>
      </w:r>
      <w:r w:rsidRPr="00161C1B">
        <w:rPr>
          <w:rFonts w:ascii="Times New Roman" w:hAnsi="Times New Roman" w:cs="Times New Roman"/>
          <w:sz w:val="24"/>
          <w:szCs w:val="24"/>
          <w:lang w:val="en-US"/>
        </w:rPr>
        <w:t xml:space="preserve"> the levels of electoral volatility </w:t>
      </w:r>
      <w:r w:rsidR="003D2729">
        <w:rPr>
          <w:rFonts w:ascii="Times New Roman" w:hAnsi="Times New Roman" w:cs="Times New Roman"/>
          <w:sz w:val="24"/>
          <w:szCs w:val="24"/>
          <w:lang w:val="en-US"/>
        </w:rPr>
        <w:t xml:space="preserve">at </w:t>
      </w:r>
      <w:r w:rsidRPr="00161C1B">
        <w:rPr>
          <w:rFonts w:ascii="Times New Roman" w:hAnsi="Times New Roman" w:cs="Times New Roman"/>
          <w:sz w:val="24"/>
          <w:szCs w:val="24"/>
          <w:lang w:val="en-US"/>
        </w:rPr>
        <w:t xml:space="preserve">over the 15 percent threshold. In terms of the number of parties, the degree of electoral fragmentation was reduced </w:t>
      </w:r>
      <w:r w:rsidR="003D2729">
        <w:rPr>
          <w:rFonts w:ascii="Times New Roman" w:hAnsi="Times New Roman" w:cs="Times New Roman"/>
          <w:sz w:val="24"/>
          <w:szCs w:val="24"/>
          <w:lang w:val="en-US"/>
        </w:rPr>
        <w:t xml:space="preserve">by </w:t>
      </w:r>
      <w:r w:rsidRPr="00161C1B">
        <w:rPr>
          <w:rFonts w:ascii="Times New Roman" w:hAnsi="Times New Roman" w:cs="Times New Roman"/>
          <w:sz w:val="24"/>
          <w:szCs w:val="24"/>
          <w:lang w:val="en-US"/>
        </w:rPr>
        <w:t>almost a point</w:t>
      </w:r>
      <w:r w:rsidR="003D2729">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converting the 1951 extremely pluralist party system into a moderate limited one. </w:t>
      </w:r>
      <w:r w:rsidR="003D2729">
        <w:rPr>
          <w:rFonts w:ascii="Times New Roman" w:hAnsi="Times New Roman" w:cs="Times New Roman"/>
          <w:sz w:val="24"/>
          <w:szCs w:val="24"/>
          <w:lang w:val="en-US"/>
        </w:rPr>
        <w:t>E</w:t>
      </w:r>
      <w:r w:rsidRPr="00161C1B">
        <w:rPr>
          <w:rFonts w:ascii="Times New Roman" w:hAnsi="Times New Roman" w:cs="Times New Roman"/>
          <w:sz w:val="24"/>
          <w:szCs w:val="24"/>
          <w:lang w:val="en-US"/>
        </w:rPr>
        <w:t xml:space="preserve">ven if this effect is not so clearly visible in </w:t>
      </w:r>
      <w:r w:rsidR="003D2729">
        <w:rPr>
          <w:rFonts w:ascii="Times New Roman" w:hAnsi="Times New Roman" w:cs="Times New Roman"/>
          <w:sz w:val="24"/>
          <w:szCs w:val="24"/>
          <w:lang w:val="en-US"/>
        </w:rPr>
        <w:t>T</w:t>
      </w:r>
      <w:r w:rsidRPr="00161C1B">
        <w:rPr>
          <w:rFonts w:ascii="Times New Roman" w:hAnsi="Times New Roman" w:cs="Times New Roman"/>
          <w:sz w:val="24"/>
          <w:szCs w:val="24"/>
          <w:lang w:val="en-US"/>
        </w:rPr>
        <w:t xml:space="preserve">able 5, the </w:t>
      </w:r>
      <w:r w:rsidR="003D2729">
        <w:rPr>
          <w:rFonts w:ascii="Times New Roman" w:hAnsi="Times New Roman" w:cs="Times New Roman"/>
          <w:sz w:val="24"/>
          <w:szCs w:val="24"/>
          <w:lang w:val="en-US"/>
        </w:rPr>
        <w:t xml:space="preserve">banning </w:t>
      </w:r>
      <w:r w:rsidRPr="00161C1B">
        <w:rPr>
          <w:rFonts w:ascii="Times New Roman" w:hAnsi="Times New Roman" w:cs="Times New Roman"/>
          <w:sz w:val="24"/>
          <w:szCs w:val="24"/>
          <w:lang w:val="en-US"/>
        </w:rPr>
        <w:t xml:space="preserve">of the SRP facilitated </w:t>
      </w:r>
      <w:r w:rsidR="00783A6C">
        <w:rPr>
          <w:rFonts w:ascii="Times New Roman" w:hAnsi="Times New Roman" w:cs="Times New Roman"/>
          <w:sz w:val="24"/>
          <w:szCs w:val="24"/>
          <w:lang w:val="en-US"/>
        </w:rPr>
        <w:t>an</w:t>
      </w:r>
      <w:r w:rsidR="003D2729">
        <w:rPr>
          <w:rFonts w:ascii="Times New Roman" w:hAnsi="Times New Roman" w:cs="Times New Roman"/>
          <w:sz w:val="24"/>
          <w:szCs w:val="24"/>
          <w:lang w:val="en-US"/>
        </w:rPr>
        <w:t xml:space="preserve"> </w:t>
      </w:r>
      <w:r w:rsidRPr="00161C1B">
        <w:rPr>
          <w:rFonts w:ascii="Times New Roman" w:hAnsi="Times New Roman" w:cs="Times New Roman"/>
          <w:sz w:val="24"/>
          <w:szCs w:val="24"/>
          <w:lang w:val="en-US"/>
        </w:rPr>
        <w:t>increas</w:t>
      </w:r>
      <w:r w:rsidR="003D2729">
        <w:rPr>
          <w:rFonts w:ascii="Times New Roman" w:hAnsi="Times New Roman" w:cs="Times New Roman"/>
          <w:sz w:val="24"/>
          <w:szCs w:val="24"/>
          <w:lang w:val="en-US"/>
        </w:rPr>
        <w:t>e in</w:t>
      </w:r>
      <w:r w:rsidRPr="00161C1B">
        <w:rPr>
          <w:rFonts w:ascii="Times New Roman" w:hAnsi="Times New Roman" w:cs="Times New Roman"/>
          <w:sz w:val="24"/>
          <w:szCs w:val="24"/>
          <w:lang w:val="en-US"/>
        </w:rPr>
        <w:t xml:space="preserve"> support </w:t>
      </w:r>
      <w:r w:rsidR="003D2729">
        <w:rPr>
          <w:rFonts w:ascii="Times New Roman" w:hAnsi="Times New Roman" w:cs="Times New Roman"/>
          <w:sz w:val="24"/>
          <w:szCs w:val="24"/>
          <w:lang w:val="en-US"/>
        </w:rPr>
        <w:t xml:space="preserve">for </w:t>
      </w:r>
      <w:r w:rsidRPr="00161C1B">
        <w:rPr>
          <w:rFonts w:ascii="Times New Roman" w:hAnsi="Times New Roman" w:cs="Times New Roman"/>
          <w:sz w:val="24"/>
          <w:szCs w:val="24"/>
          <w:lang w:val="en-US"/>
        </w:rPr>
        <w:t xml:space="preserve">right-wing forces (i.e. DP, CDU and GB/BHE) </w:t>
      </w:r>
      <w:r w:rsidR="003D2729">
        <w:rPr>
          <w:rFonts w:ascii="Times New Roman" w:hAnsi="Times New Roman" w:cs="Times New Roman"/>
          <w:sz w:val="24"/>
          <w:szCs w:val="24"/>
          <w:lang w:val="en-US"/>
        </w:rPr>
        <w:t xml:space="preserve">and </w:t>
      </w:r>
      <w:r w:rsidRPr="00161C1B">
        <w:rPr>
          <w:rFonts w:ascii="Times New Roman" w:hAnsi="Times New Roman" w:cs="Times New Roman"/>
          <w:sz w:val="24"/>
          <w:szCs w:val="24"/>
          <w:lang w:val="en-US"/>
        </w:rPr>
        <w:t>allow</w:t>
      </w:r>
      <w:r w:rsidR="003D2729">
        <w:rPr>
          <w:rFonts w:ascii="Times New Roman" w:hAnsi="Times New Roman" w:cs="Times New Roman"/>
          <w:sz w:val="24"/>
          <w:szCs w:val="24"/>
          <w:lang w:val="en-US"/>
        </w:rPr>
        <w:t>ed</w:t>
      </w:r>
      <w:r w:rsidRPr="00161C1B">
        <w:rPr>
          <w:rFonts w:ascii="Times New Roman" w:hAnsi="Times New Roman" w:cs="Times New Roman"/>
          <w:sz w:val="24"/>
          <w:szCs w:val="24"/>
          <w:lang w:val="en-US"/>
        </w:rPr>
        <w:t xml:space="preserve"> for an exclusively </w:t>
      </w:r>
      <w:proofErr w:type="spellStart"/>
      <w:r w:rsidRPr="00161C1B">
        <w:rPr>
          <w:rFonts w:ascii="Times New Roman" w:hAnsi="Times New Roman" w:cs="Times New Roman"/>
          <w:sz w:val="24"/>
          <w:szCs w:val="24"/>
          <w:lang w:val="en-US"/>
        </w:rPr>
        <w:t>centre</w:t>
      </w:r>
      <w:proofErr w:type="spellEnd"/>
      <w:r w:rsidRPr="00161C1B">
        <w:rPr>
          <w:rFonts w:ascii="Times New Roman" w:hAnsi="Times New Roman" w:cs="Times New Roman"/>
          <w:sz w:val="24"/>
          <w:szCs w:val="24"/>
          <w:lang w:val="en-US"/>
        </w:rPr>
        <w:t>-right coalition government in May 1955.</w:t>
      </w:r>
    </w:p>
    <w:p w:rsidR="003D2729" w:rsidRDefault="003D2729" w:rsidP="00B003CD">
      <w:pPr>
        <w:spacing w:after="0" w:line="360" w:lineRule="auto"/>
        <w:jc w:val="both"/>
        <w:rPr>
          <w:rFonts w:ascii="Times New Roman" w:hAnsi="Times New Roman" w:cs="Times New Roman"/>
          <w:sz w:val="24"/>
          <w:szCs w:val="24"/>
          <w:lang w:val="en-US"/>
        </w:rPr>
      </w:pPr>
    </w:p>
    <w:p w:rsidR="00A2338B" w:rsidRPr="00161C1B" w:rsidRDefault="00A2338B" w:rsidP="00B003CD">
      <w:pPr>
        <w:spacing w:after="0" w:line="360" w:lineRule="auto"/>
        <w:jc w:val="both"/>
        <w:rPr>
          <w:rFonts w:ascii="Times New Roman" w:hAnsi="Times New Roman" w:cs="Times New Roman"/>
          <w:sz w:val="24"/>
          <w:szCs w:val="24"/>
          <w:lang w:val="en-US"/>
        </w:rPr>
      </w:pPr>
    </w:p>
    <w:p w:rsidR="00B003CD" w:rsidRDefault="00B003CD" w:rsidP="00883DB3">
      <w:pPr>
        <w:spacing w:after="0" w:line="240" w:lineRule="auto"/>
        <w:jc w:val="center"/>
        <w:rPr>
          <w:rFonts w:ascii="Times New Roman" w:hAnsi="Times New Roman" w:cs="Times New Roman"/>
          <w:b/>
          <w:sz w:val="24"/>
          <w:szCs w:val="24"/>
          <w:lang w:val="en-US"/>
        </w:rPr>
      </w:pPr>
      <w:proofErr w:type="gramStart"/>
      <w:r w:rsidRPr="00883DB3">
        <w:rPr>
          <w:rFonts w:ascii="Times New Roman" w:hAnsi="Times New Roman" w:cs="Times New Roman"/>
          <w:b/>
          <w:sz w:val="24"/>
          <w:szCs w:val="24"/>
          <w:lang w:val="en-US"/>
        </w:rPr>
        <w:lastRenderedPageBreak/>
        <w:t>Table 5.</w:t>
      </w:r>
      <w:proofErr w:type="gramEnd"/>
      <w:r w:rsidRPr="00883DB3">
        <w:rPr>
          <w:rFonts w:ascii="Times New Roman" w:hAnsi="Times New Roman" w:cs="Times New Roman"/>
          <w:b/>
          <w:sz w:val="24"/>
          <w:szCs w:val="24"/>
          <w:lang w:val="en-US"/>
        </w:rPr>
        <w:t xml:space="preserve"> Party system indicators in Lower Saxony (1947-1955) and Saxony (1999-2009)</w:t>
      </w:r>
    </w:p>
    <w:p w:rsidR="003D2729" w:rsidRPr="00883DB3" w:rsidRDefault="003D2729" w:rsidP="00883DB3">
      <w:pPr>
        <w:spacing w:after="0" w:line="240" w:lineRule="auto"/>
        <w:jc w:val="center"/>
        <w:rPr>
          <w:rFonts w:ascii="Times New Roman" w:hAnsi="Times New Roman" w:cs="Times New Roman"/>
          <w:b/>
          <w:sz w:val="24"/>
          <w:szCs w:val="24"/>
          <w:lang w:val="en-US"/>
        </w:rPr>
      </w:pPr>
    </w:p>
    <w:tbl>
      <w:tblPr>
        <w:tblStyle w:val="TableGrid"/>
        <w:tblW w:w="9464" w:type="dxa"/>
        <w:tblLayout w:type="fixed"/>
        <w:tblLook w:val="04A0" w:firstRow="1" w:lastRow="0" w:firstColumn="1" w:lastColumn="0" w:noHBand="0" w:noVBand="1"/>
      </w:tblPr>
      <w:tblGrid>
        <w:gridCol w:w="1101"/>
        <w:gridCol w:w="1701"/>
        <w:gridCol w:w="1559"/>
        <w:gridCol w:w="1559"/>
        <w:gridCol w:w="992"/>
        <w:gridCol w:w="1276"/>
        <w:gridCol w:w="1276"/>
      </w:tblGrid>
      <w:tr w:rsidR="00B003CD" w:rsidRPr="00161C1B" w:rsidTr="00895231">
        <w:tc>
          <w:tcPr>
            <w:tcW w:w="1101" w:type="dxa"/>
            <w:vMerge w:val="restart"/>
          </w:tcPr>
          <w:p w:rsidR="00B003CD" w:rsidRDefault="00B003CD" w:rsidP="00895231">
            <w:pPr>
              <w:jc w:val="center"/>
              <w:rPr>
                <w:sz w:val="22"/>
                <w:szCs w:val="22"/>
                <w:lang w:val="en-US"/>
              </w:rPr>
            </w:pPr>
          </w:p>
          <w:p w:rsidR="003D2729" w:rsidRDefault="003D2729" w:rsidP="00895231">
            <w:pPr>
              <w:jc w:val="center"/>
              <w:rPr>
                <w:sz w:val="22"/>
                <w:szCs w:val="22"/>
                <w:lang w:val="en-US"/>
              </w:rPr>
            </w:pPr>
          </w:p>
          <w:p w:rsidR="003D2729" w:rsidRPr="00161C1B" w:rsidRDefault="003D2729" w:rsidP="00895231">
            <w:pPr>
              <w:jc w:val="center"/>
              <w:rPr>
                <w:sz w:val="22"/>
                <w:szCs w:val="22"/>
                <w:lang w:val="en-US"/>
              </w:rPr>
            </w:pPr>
          </w:p>
        </w:tc>
        <w:tc>
          <w:tcPr>
            <w:tcW w:w="4819" w:type="dxa"/>
            <w:gridSpan w:val="3"/>
            <w:vAlign w:val="bottom"/>
          </w:tcPr>
          <w:p w:rsidR="00057775" w:rsidRDefault="00B003CD" w:rsidP="00895231">
            <w:pPr>
              <w:jc w:val="center"/>
              <w:rPr>
                <w:b/>
                <w:bCs/>
                <w:color w:val="000000"/>
                <w:sz w:val="22"/>
                <w:szCs w:val="22"/>
                <w:lang w:val="en-US"/>
              </w:rPr>
            </w:pPr>
            <w:r w:rsidRPr="00161C1B">
              <w:rPr>
                <w:b/>
                <w:bCs/>
                <w:color w:val="000000"/>
                <w:sz w:val="22"/>
                <w:szCs w:val="22"/>
                <w:lang w:val="en-US"/>
              </w:rPr>
              <w:t>Lower Saxony</w:t>
            </w:r>
            <w:r w:rsidR="00057775">
              <w:rPr>
                <w:b/>
                <w:bCs/>
                <w:color w:val="000000"/>
                <w:sz w:val="22"/>
                <w:szCs w:val="22"/>
                <w:lang w:val="en-US"/>
              </w:rPr>
              <w:t xml:space="preserve"> </w:t>
            </w:r>
          </w:p>
          <w:p w:rsidR="00B003CD" w:rsidRPr="00161C1B" w:rsidRDefault="00057775" w:rsidP="00895231">
            <w:pPr>
              <w:jc w:val="center"/>
              <w:rPr>
                <w:b/>
                <w:bCs/>
                <w:color w:val="000000"/>
                <w:sz w:val="22"/>
                <w:szCs w:val="22"/>
                <w:lang w:val="en-US"/>
              </w:rPr>
            </w:pPr>
            <w:r>
              <w:rPr>
                <w:b/>
                <w:bCs/>
                <w:color w:val="000000"/>
                <w:sz w:val="22"/>
                <w:szCs w:val="22"/>
                <w:lang w:val="en-US"/>
              </w:rPr>
              <w:t>(Socialist Reich Party)</w:t>
            </w:r>
          </w:p>
        </w:tc>
        <w:tc>
          <w:tcPr>
            <w:tcW w:w="3544" w:type="dxa"/>
            <w:gridSpan w:val="3"/>
          </w:tcPr>
          <w:p w:rsidR="00057775" w:rsidRDefault="00B003CD" w:rsidP="00895231">
            <w:pPr>
              <w:jc w:val="center"/>
              <w:rPr>
                <w:b/>
                <w:bCs/>
                <w:color w:val="000000"/>
                <w:sz w:val="22"/>
                <w:szCs w:val="22"/>
                <w:lang w:val="en-US"/>
              </w:rPr>
            </w:pPr>
            <w:r w:rsidRPr="00161C1B">
              <w:rPr>
                <w:b/>
                <w:bCs/>
                <w:color w:val="000000"/>
                <w:sz w:val="22"/>
                <w:szCs w:val="22"/>
                <w:lang w:val="en-US"/>
              </w:rPr>
              <w:t>Saxony</w:t>
            </w:r>
            <w:r w:rsidR="00057775">
              <w:rPr>
                <w:b/>
                <w:bCs/>
                <w:color w:val="000000"/>
                <w:sz w:val="22"/>
                <w:szCs w:val="22"/>
                <w:lang w:val="en-US"/>
              </w:rPr>
              <w:t xml:space="preserve"> </w:t>
            </w:r>
          </w:p>
          <w:p w:rsidR="00B003CD" w:rsidRPr="00161C1B" w:rsidRDefault="00057775" w:rsidP="00895231">
            <w:pPr>
              <w:jc w:val="center"/>
              <w:rPr>
                <w:b/>
                <w:bCs/>
                <w:color w:val="000000"/>
                <w:sz w:val="22"/>
                <w:szCs w:val="22"/>
                <w:lang w:val="en-US"/>
              </w:rPr>
            </w:pPr>
            <w:r>
              <w:rPr>
                <w:b/>
                <w:bCs/>
                <w:color w:val="000000"/>
                <w:sz w:val="22"/>
                <w:szCs w:val="22"/>
                <w:lang w:val="en-US"/>
              </w:rPr>
              <w:t>(National Democratic Party)</w:t>
            </w:r>
          </w:p>
        </w:tc>
      </w:tr>
      <w:tr w:rsidR="00B003CD" w:rsidRPr="00161C1B" w:rsidTr="00895231">
        <w:tc>
          <w:tcPr>
            <w:tcW w:w="1101" w:type="dxa"/>
            <w:vMerge/>
          </w:tcPr>
          <w:p w:rsidR="00B003CD" w:rsidRPr="00161C1B" w:rsidRDefault="00B003CD" w:rsidP="00895231">
            <w:pPr>
              <w:jc w:val="center"/>
              <w:rPr>
                <w:sz w:val="22"/>
                <w:szCs w:val="22"/>
                <w:lang w:val="en-US"/>
              </w:rPr>
            </w:pPr>
          </w:p>
        </w:tc>
        <w:tc>
          <w:tcPr>
            <w:tcW w:w="1701" w:type="dxa"/>
            <w:vAlign w:val="bottom"/>
          </w:tcPr>
          <w:p w:rsidR="00B003CD" w:rsidRPr="00161C1B" w:rsidRDefault="00B003CD" w:rsidP="00895231">
            <w:pPr>
              <w:jc w:val="center"/>
              <w:rPr>
                <w:bCs/>
                <w:i/>
                <w:color w:val="000000"/>
                <w:sz w:val="22"/>
                <w:szCs w:val="22"/>
              </w:rPr>
            </w:pPr>
            <w:r w:rsidRPr="00161C1B">
              <w:rPr>
                <w:bCs/>
                <w:i/>
                <w:color w:val="000000"/>
                <w:sz w:val="22"/>
                <w:szCs w:val="22"/>
              </w:rPr>
              <w:t>1947</w:t>
            </w:r>
          </w:p>
        </w:tc>
        <w:tc>
          <w:tcPr>
            <w:tcW w:w="1559" w:type="dxa"/>
            <w:vAlign w:val="bottom"/>
          </w:tcPr>
          <w:p w:rsidR="00B003CD" w:rsidRPr="00161C1B" w:rsidRDefault="00B003CD" w:rsidP="00895231">
            <w:pPr>
              <w:jc w:val="center"/>
              <w:rPr>
                <w:bCs/>
                <w:i/>
                <w:color w:val="000000"/>
                <w:sz w:val="22"/>
                <w:szCs w:val="22"/>
              </w:rPr>
            </w:pPr>
            <w:r w:rsidRPr="00161C1B">
              <w:rPr>
                <w:bCs/>
                <w:i/>
                <w:color w:val="000000"/>
                <w:sz w:val="22"/>
                <w:szCs w:val="22"/>
              </w:rPr>
              <w:t>1951</w:t>
            </w:r>
          </w:p>
        </w:tc>
        <w:tc>
          <w:tcPr>
            <w:tcW w:w="1559" w:type="dxa"/>
            <w:vAlign w:val="bottom"/>
          </w:tcPr>
          <w:p w:rsidR="00B003CD" w:rsidRPr="00161C1B" w:rsidRDefault="00B003CD" w:rsidP="00895231">
            <w:pPr>
              <w:jc w:val="center"/>
              <w:rPr>
                <w:bCs/>
                <w:i/>
                <w:color w:val="000000"/>
                <w:sz w:val="22"/>
                <w:szCs w:val="22"/>
              </w:rPr>
            </w:pPr>
            <w:r w:rsidRPr="00161C1B">
              <w:rPr>
                <w:bCs/>
                <w:i/>
                <w:color w:val="000000"/>
                <w:sz w:val="22"/>
                <w:szCs w:val="22"/>
              </w:rPr>
              <w:t>1955</w:t>
            </w:r>
          </w:p>
        </w:tc>
        <w:tc>
          <w:tcPr>
            <w:tcW w:w="992" w:type="dxa"/>
          </w:tcPr>
          <w:p w:rsidR="00B003CD" w:rsidRPr="00161C1B" w:rsidRDefault="00B003CD" w:rsidP="00895231">
            <w:pPr>
              <w:jc w:val="center"/>
              <w:rPr>
                <w:bCs/>
                <w:i/>
                <w:color w:val="000000"/>
                <w:sz w:val="22"/>
                <w:szCs w:val="22"/>
              </w:rPr>
            </w:pPr>
            <w:r w:rsidRPr="00161C1B">
              <w:rPr>
                <w:bCs/>
                <w:i/>
                <w:color w:val="000000"/>
                <w:sz w:val="22"/>
                <w:szCs w:val="22"/>
              </w:rPr>
              <w:t>1999</w:t>
            </w:r>
          </w:p>
        </w:tc>
        <w:tc>
          <w:tcPr>
            <w:tcW w:w="1276" w:type="dxa"/>
          </w:tcPr>
          <w:p w:rsidR="00B003CD" w:rsidRPr="00161C1B" w:rsidRDefault="00B003CD" w:rsidP="00895231">
            <w:pPr>
              <w:jc w:val="center"/>
              <w:rPr>
                <w:bCs/>
                <w:i/>
                <w:color w:val="000000"/>
                <w:sz w:val="22"/>
                <w:szCs w:val="22"/>
              </w:rPr>
            </w:pPr>
            <w:r w:rsidRPr="00161C1B">
              <w:rPr>
                <w:bCs/>
                <w:i/>
                <w:color w:val="000000"/>
                <w:sz w:val="22"/>
                <w:szCs w:val="22"/>
              </w:rPr>
              <w:t>2004</w:t>
            </w:r>
          </w:p>
        </w:tc>
        <w:tc>
          <w:tcPr>
            <w:tcW w:w="1276" w:type="dxa"/>
          </w:tcPr>
          <w:p w:rsidR="00B003CD" w:rsidRPr="00161C1B" w:rsidRDefault="00B003CD" w:rsidP="00895231">
            <w:pPr>
              <w:jc w:val="center"/>
              <w:rPr>
                <w:bCs/>
                <w:i/>
                <w:color w:val="000000"/>
                <w:sz w:val="22"/>
                <w:szCs w:val="22"/>
              </w:rPr>
            </w:pPr>
            <w:r w:rsidRPr="00161C1B">
              <w:rPr>
                <w:bCs/>
                <w:i/>
                <w:color w:val="000000"/>
                <w:sz w:val="22"/>
                <w:szCs w:val="22"/>
              </w:rPr>
              <w:t>2009</w:t>
            </w:r>
          </w:p>
        </w:tc>
      </w:tr>
      <w:tr w:rsidR="00B003CD" w:rsidRPr="00161C1B" w:rsidTr="00895231">
        <w:tc>
          <w:tcPr>
            <w:tcW w:w="1101" w:type="dxa"/>
          </w:tcPr>
          <w:p w:rsidR="00B003CD" w:rsidRPr="00161C1B" w:rsidRDefault="00B003CD" w:rsidP="00895231">
            <w:pPr>
              <w:jc w:val="center"/>
              <w:rPr>
                <w:b/>
                <w:sz w:val="22"/>
                <w:szCs w:val="22"/>
                <w:lang w:val="en-US"/>
              </w:rPr>
            </w:pPr>
            <w:r w:rsidRPr="00161C1B">
              <w:rPr>
                <w:b/>
                <w:sz w:val="22"/>
                <w:szCs w:val="22"/>
                <w:lang w:val="en-US"/>
              </w:rPr>
              <w:t>TEV</w:t>
            </w:r>
          </w:p>
        </w:tc>
        <w:tc>
          <w:tcPr>
            <w:tcW w:w="1701" w:type="dxa"/>
            <w:vAlign w:val="bottom"/>
          </w:tcPr>
          <w:p w:rsidR="00B003CD" w:rsidRPr="00161C1B" w:rsidRDefault="00B003CD" w:rsidP="00895231">
            <w:pPr>
              <w:jc w:val="center"/>
              <w:rPr>
                <w:color w:val="000000"/>
                <w:sz w:val="22"/>
                <w:szCs w:val="22"/>
              </w:rPr>
            </w:pPr>
            <w:r w:rsidRPr="00161C1B">
              <w:rPr>
                <w:color w:val="000000"/>
                <w:sz w:val="22"/>
                <w:szCs w:val="22"/>
              </w:rPr>
              <w:t>n/a</w:t>
            </w:r>
          </w:p>
        </w:tc>
        <w:tc>
          <w:tcPr>
            <w:tcW w:w="1559" w:type="dxa"/>
            <w:vAlign w:val="bottom"/>
          </w:tcPr>
          <w:p w:rsidR="00B003CD" w:rsidRPr="00161C1B" w:rsidRDefault="00B003CD" w:rsidP="00895231">
            <w:pPr>
              <w:jc w:val="center"/>
              <w:rPr>
                <w:color w:val="000000"/>
                <w:sz w:val="22"/>
                <w:szCs w:val="22"/>
              </w:rPr>
            </w:pPr>
            <w:r w:rsidRPr="00161C1B">
              <w:rPr>
                <w:color w:val="000000"/>
                <w:sz w:val="22"/>
                <w:szCs w:val="22"/>
              </w:rPr>
              <w:t>28.7</w:t>
            </w:r>
          </w:p>
        </w:tc>
        <w:tc>
          <w:tcPr>
            <w:tcW w:w="1559" w:type="dxa"/>
            <w:vAlign w:val="bottom"/>
          </w:tcPr>
          <w:p w:rsidR="00B003CD" w:rsidRPr="00161C1B" w:rsidRDefault="00B003CD" w:rsidP="00895231">
            <w:pPr>
              <w:jc w:val="center"/>
              <w:rPr>
                <w:color w:val="000000"/>
                <w:sz w:val="22"/>
                <w:szCs w:val="22"/>
              </w:rPr>
            </w:pPr>
            <w:r w:rsidRPr="00161C1B">
              <w:rPr>
                <w:color w:val="000000"/>
                <w:sz w:val="22"/>
                <w:szCs w:val="22"/>
              </w:rPr>
              <w:t>18.7</w:t>
            </w:r>
          </w:p>
        </w:tc>
        <w:tc>
          <w:tcPr>
            <w:tcW w:w="992" w:type="dxa"/>
          </w:tcPr>
          <w:p w:rsidR="00B003CD" w:rsidRPr="00161C1B" w:rsidRDefault="00B003CD" w:rsidP="00895231">
            <w:pPr>
              <w:jc w:val="center"/>
              <w:rPr>
                <w:color w:val="000000"/>
                <w:sz w:val="22"/>
                <w:szCs w:val="22"/>
              </w:rPr>
            </w:pPr>
            <w:r w:rsidRPr="00161C1B">
              <w:rPr>
                <w:color w:val="000000"/>
                <w:sz w:val="22"/>
                <w:szCs w:val="22"/>
              </w:rPr>
              <w:t>n/a</w:t>
            </w:r>
          </w:p>
        </w:tc>
        <w:tc>
          <w:tcPr>
            <w:tcW w:w="1276" w:type="dxa"/>
          </w:tcPr>
          <w:p w:rsidR="00B003CD" w:rsidRPr="00161C1B" w:rsidRDefault="00B003CD" w:rsidP="00895231">
            <w:pPr>
              <w:jc w:val="center"/>
              <w:rPr>
                <w:color w:val="000000"/>
                <w:sz w:val="22"/>
                <w:szCs w:val="22"/>
              </w:rPr>
            </w:pPr>
            <w:r w:rsidRPr="00161C1B">
              <w:rPr>
                <w:color w:val="000000"/>
                <w:sz w:val="22"/>
                <w:szCs w:val="22"/>
              </w:rPr>
              <w:t>20.5</w:t>
            </w:r>
          </w:p>
        </w:tc>
        <w:tc>
          <w:tcPr>
            <w:tcW w:w="1276" w:type="dxa"/>
          </w:tcPr>
          <w:p w:rsidR="00B003CD" w:rsidRPr="00161C1B" w:rsidRDefault="00B003CD" w:rsidP="00895231">
            <w:pPr>
              <w:jc w:val="center"/>
              <w:rPr>
                <w:color w:val="000000"/>
                <w:sz w:val="22"/>
                <w:szCs w:val="22"/>
              </w:rPr>
            </w:pPr>
            <w:r w:rsidRPr="00161C1B">
              <w:rPr>
                <w:color w:val="000000"/>
                <w:sz w:val="22"/>
                <w:szCs w:val="22"/>
              </w:rPr>
              <w:t>9.2</w:t>
            </w:r>
          </w:p>
        </w:tc>
      </w:tr>
      <w:tr w:rsidR="00B003CD" w:rsidRPr="00161C1B" w:rsidTr="00895231">
        <w:tc>
          <w:tcPr>
            <w:tcW w:w="1101" w:type="dxa"/>
          </w:tcPr>
          <w:p w:rsidR="00B003CD" w:rsidRPr="00161C1B" w:rsidRDefault="00B003CD" w:rsidP="00895231">
            <w:pPr>
              <w:jc w:val="center"/>
              <w:rPr>
                <w:b/>
                <w:sz w:val="22"/>
                <w:szCs w:val="22"/>
                <w:lang w:val="en-US"/>
              </w:rPr>
            </w:pPr>
            <w:r w:rsidRPr="00161C1B">
              <w:rPr>
                <w:b/>
                <w:sz w:val="22"/>
                <w:szCs w:val="22"/>
                <w:lang w:val="en-US"/>
              </w:rPr>
              <w:t>ENEP</w:t>
            </w:r>
          </w:p>
        </w:tc>
        <w:tc>
          <w:tcPr>
            <w:tcW w:w="1701" w:type="dxa"/>
            <w:vAlign w:val="bottom"/>
          </w:tcPr>
          <w:p w:rsidR="00B003CD" w:rsidRPr="00161C1B" w:rsidRDefault="00B003CD" w:rsidP="00895231">
            <w:pPr>
              <w:jc w:val="center"/>
              <w:rPr>
                <w:color w:val="000000"/>
                <w:sz w:val="22"/>
                <w:szCs w:val="22"/>
              </w:rPr>
            </w:pPr>
            <w:r w:rsidRPr="00161C1B">
              <w:rPr>
                <w:color w:val="000000"/>
                <w:sz w:val="22"/>
                <w:szCs w:val="22"/>
              </w:rPr>
              <w:t>3.7</w:t>
            </w:r>
          </w:p>
        </w:tc>
        <w:tc>
          <w:tcPr>
            <w:tcW w:w="1559" w:type="dxa"/>
            <w:vAlign w:val="bottom"/>
          </w:tcPr>
          <w:p w:rsidR="00B003CD" w:rsidRPr="00161C1B" w:rsidRDefault="00B003CD" w:rsidP="00895231">
            <w:pPr>
              <w:jc w:val="center"/>
              <w:rPr>
                <w:color w:val="000000"/>
                <w:sz w:val="22"/>
                <w:szCs w:val="22"/>
              </w:rPr>
            </w:pPr>
            <w:r w:rsidRPr="00161C1B">
              <w:rPr>
                <w:color w:val="000000"/>
                <w:sz w:val="22"/>
                <w:szCs w:val="22"/>
              </w:rPr>
              <w:t>4.7</w:t>
            </w:r>
          </w:p>
        </w:tc>
        <w:tc>
          <w:tcPr>
            <w:tcW w:w="1559" w:type="dxa"/>
            <w:vAlign w:val="bottom"/>
          </w:tcPr>
          <w:p w:rsidR="00B003CD" w:rsidRPr="00161C1B" w:rsidRDefault="00B003CD" w:rsidP="00895231">
            <w:pPr>
              <w:jc w:val="center"/>
              <w:rPr>
                <w:color w:val="000000"/>
                <w:sz w:val="22"/>
                <w:szCs w:val="22"/>
              </w:rPr>
            </w:pPr>
            <w:r w:rsidRPr="00161C1B">
              <w:rPr>
                <w:color w:val="000000"/>
                <w:sz w:val="22"/>
                <w:szCs w:val="22"/>
              </w:rPr>
              <w:t>4.3 (3.4)</w:t>
            </w:r>
          </w:p>
        </w:tc>
        <w:tc>
          <w:tcPr>
            <w:tcW w:w="992" w:type="dxa"/>
          </w:tcPr>
          <w:p w:rsidR="00B003CD" w:rsidRPr="00161C1B" w:rsidRDefault="00B003CD" w:rsidP="00895231">
            <w:pPr>
              <w:jc w:val="center"/>
              <w:rPr>
                <w:color w:val="000000"/>
                <w:sz w:val="22"/>
                <w:szCs w:val="22"/>
              </w:rPr>
            </w:pPr>
            <w:r w:rsidRPr="00161C1B">
              <w:rPr>
                <w:color w:val="000000"/>
                <w:sz w:val="22"/>
                <w:szCs w:val="22"/>
              </w:rPr>
              <w:t>2.6</w:t>
            </w:r>
          </w:p>
        </w:tc>
        <w:tc>
          <w:tcPr>
            <w:tcW w:w="1276" w:type="dxa"/>
          </w:tcPr>
          <w:p w:rsidR="00B003CD" w:rsidRPr="00161C1B" w:rsidRDefault="00B003CD" w:rsidP="00895231">
            <w:pPr>
              <w:jc w:val="center"/>
              <w:rPr>
                <w:color w:val="000000"/>
                <w:sz w:val="22"/>
                <w:szCs w:val="22"/>
              </w:rPr>
            </w:pPr>
            <w:r w:rsidRPr="00161C1B">
              <w:rPr>
                <w:color w:val="000000"/>
                <w:sz w:val="22"/>
                <w:szCs w:val="22"/>
              </w:rPr>
              <w:t>4</w:t>
            </w:r>
          </w:p>
        </w:tc>
        <w:tc>
          <w:tcPr>
            <w:tcW w:w="1276" w:type="dxa"/>
          </w:tcPr>
          <w:p w:rsidR="00B003CD" w:rsidRPr="00161C1B" w:rsidRDefault="00B003CD" w:rsidP="00895231">
            <w:pPr>
              <w:jc w:val="center"/>
              <w:rPr>
                <w:color w:val="000000"/>
                <w:sz w:val="22"/>
                <w:szCs w:val="22"/>
              </w:rPr>
            </w:pPr>
            <w:r w:rsidRPr="00161C1B">
              <w:rPr>
                <w:color w:val="000000"/>
                <w:sz w:val="22"/>
                <w:szCs w:val="22"/>
              </w:rPr>
              <w:t>4.3</w:t>
            </w:r>
          </w:p>
        </w:tc>
      </w:tr>
      <w:tr w:rsidR="00B003CD" w:rsidRPr="00161C1B" w:rsidTr="00895231">
        <w:tc>
          <w:tcPr>
            <w:tcW w:w="1101" w:type="dxa"/>
          </w:tcPr>
          <w:p w:rsidR="00B003CD" w:rsidRPr="00161C1B" w:rsidRDefault="00B003CD" w:rsidP="00895231">
            <w:pPr>
              <w:jc w:val="center"/>
              <w:rPr>
                <w:b/>
                <w:sz w:val="22"/>
                <w:szCs w:val="22"/>
                <w:lang w:val="en-US"/>
              </w:rPr>
            </w:pPr>
            <w:r w:rsidRPr="00161C1B">
              <w:rPr>
                <w:b/>
                <w:sz w:val="22"/>
                <w:szCs w:val="22"/>
                <w:lang w:val="en-US"/>
              </w:rPr>
              <w:t>ENPP</w:t>
            </w:r>
          </w:p>
        </w:tc>
        <w:tc>
          <w:tcPr>
            <w:tcW w:w="1701" w:type="dxa"/>
            <w:vAlign w:val="bottom"/>
          </w:tcPr>
          <w:p w:rsidR="00B003CD" w:rsidRPr="00161C1B" w:rsidRDefault="00B003CD" w:rsidP="00895231">
            <w:pPr>
              <w:jc w:val="center"/>
              <w:rPr>
                <w:color w:val="000000"/>
                <w:sz w:val="22"/>
                <w:szCs w:val="22"/>
              </w:rPr>
            </w:pPr>
            <w:r w:rsidRPr="00161C1B">
              <w:rPr>
                <w:color w:val="000000"/>
                <w:sz w:val="22"/>
                <w:szCs w:val="22"/>
              </w:rPr>
              <w:t>3.7</w:t>
            </w:r>
          </w:p>
        </w:tc>
        <w:tc>
          <w:tcPr>
            <w:tcW w:w="1559" w:type="dxa"/>
            <w:vAlign w:val="bottom"/>
          </w:tcPr>
          <w:p w:rsidR="00B003CD" w:rsidRPr="00161C1B" w:rsidRDefault="00B003CD" w:rsidP="00895231">
            <w:pPr>
              <w:jc w:val="center"/>
              <w:rPr>
                <w:color w:val="000000"/>
                <w:sz w:val="22"/>
                <w:szCs w:val="22"/>
              </w:rPr>
            </w:pPr>
            <w:r w:rsidRPr="00161C1B">
              <w:rPr>
                <w:color w:val="000000"/>
                <w:sz w:val="22"/>
                <w:szCs w:val="22"/>
              </w:rPr>
              <w:t>4</w:t>
            </w:r>
          </w:p>
        </w:tc>
        <w:tc>
          <w:tcPr>
            <w:tcW w:w="1559" w:type="dxa"/>
            <w:vAlign w:val="bottom"/>
          </w:tcPr>
          <w:p w:rsidR="00B003CD" w:rsidRPr="00161C1B" w:rsidRDefault="00B003CD" w:rsidP="00895231">
            <w:pPr>
              <w:jc w:val="center"/>
              <w:rPr>
                <w:color w:val="000000"/>
                <w:sz w:val="22"/>
                <w:szCs w:val="22"/>
              </w:rPr>
            </w:pPr>
            <w:r w:rsidRPr="00161C1B">
              <w:rPr>
                <w:color w:val="000000"/>
                <w:sz w:val="22"/>
                <w:szCs w:val="22"/>
              </w:rPr>
              <w:t>4.1 (3.2)</w:t>
            </w:r>
          </w:p>
        </w:tc>
        <w:tc>
          <w:tcPr>
            <w:tcW w:w="992" w:type="dxa"/>
          </w:tcPr>
          <w:p w:rsidR="00B003CD" w:rsidRPr="00161C1B" w:rsidRDefault="00B003CD" w:rsidP="00895231">
            <w:pPr>
              <w:jc w:val="center"/>
              <w:rPr>
                <w:color w:val="000000"/>
                <w:sz w:val="22"/>
                <w:szCs w:val="22"/>
              </w:rPr>
            </w:pPr>
            <w:r w:rsidRPr="00161C1B">
              <w:rPr>
                <w:color w:val="000000"/>
                <w:sz w:val="22"/>
                <w:szCs w:val="22"/>
              </w:rPr>
              <w:t>2.1</w:t>
            </w:r>
          </w:p>
        </w:tc>
        <w:tc>
          <w:tcPr>
            <w:tcW w:w="1276" w:type="dxa"/>
          </w:tcPr>
          <w:p w:rsidR="00B003CD" w:rsidRPr="00161C1B" w:rsidRDefault="00B003CD" w:rsidP="00895231">
            <w:pPr>
              <w:jc w:val="center"/>
              <w:rPr>
                <w:color w:val="000000"/>
                <w:sz w:val="22"/>
                <w:szCs w:val="22"/>
              </w:rPr>
            </w:pPr>
            <w:r w:rsidRPr="00161C1B">
              <w:rPr>
                <w:color w:val="000000"/>
                <w:sz w:val="22"/>
                <w:szCs w:val="22"/>
              </w:rPr>
              <w:t>3.5</w:t>
            </w:r>
          </w:p>
        </w:tc>
        <w:tc>
          <w:tcPr>
            <w:tcW w:w="1276" w:type="dxa"/>
          </w:tcPr>
          <w:p w:rsidR="00B003CD" w:rsidRPr="00161C1B" w:rsidRDefault="00B003CD" w:rsidP="00895231">
            <w:pPr>
              <w:jc w:val="center"/>
              <w:rPr>
                <w:color w:val="000000"/>
                <w:sz w:val="22"/>
                <w:szCs w:val="22"/>
              </w:rPr>
            </w:pPr>
            <w:r w:rsidRPr="00161C1B">
              <w:rPr>
                <w:color w:val="000000"/>
                <w:sz w:val="22"/>
                <w:szCs w:val="22"/>
              </w:rPr>
              <w:t>3.7</w:t>
            </w:r>
          </w:p>
        </w:tc>
      </w:tr>
      <w:tr w:rsidR="00B003CD" w:rsidRPr="00161C1B" w:rsidTr="00895231">
        <w:tc>
          <w:tcPr>
            <w:tcW w:w="1101" w:type="dxa"/>
          </w:tcPr>
          <w:p w:rsidR="00B003CD" w:rsidRPr="00161C1B" w:rsidRDefault="00B003CD" w:rsidP="00895231">
            <w:pPr>
              <w:jc w:val="center"/>
              <w:rPr>
                <w:b/>
                <w:sz w:val="22"/>
                <w:szCs w:val="22"/>
                <w:lang w:val="en-US"/>
              </w:rPr>
            </w:pPr>
            <w:r w:rsidRPr="00161C1B">
              <w:rPr>
                <w:b/>
                <w:sz w:val="22"/>
                <w:szCs w:val="22"/>
                <w:lang w:val="en-US"/>
              </w:rPr>
              <w:t>Spoiled ballots</w:t>
            </w:r>
          </w:p>
        </w:tc>
        <w:tc>
          <w:tcPr>
            <w:tcW w:w="1701" w:type="dxa"/>
          </w:tcPr>
          <w:p w:rsidR="00B003CD" w:rsidRPr="00161C1B" w:rsidRDefault="00B003CD" w:rsidP="00895231">
            <w:pPr>
              <w:jc w:val="center"/>
              <w:rPr>
                <w:sz w:val="22"/>
                <w:szCs w:val="22"/>
                <w:lang w:val="en-US"/>
              </w:rPr>
            </w:pPr>
            <w:r w:rsidRPr="00161C1B">
              <w:rPr>
                <w:sz w:val="22"/>
                <w:szCs w:val="22"/>
                <w:lang w:val="en-US"/>
              </w:rPr>
              <w:t>n/a</w:t>
            </w:r>
          </w:p>
        </w:tc>
        <w:tc>
          <w:tcPr>
            <w:tcW w:w="1559" w:type="dxa"/>
          </w:tcPr>
          <w:p w:rsidR="00B003CD" w:rsidRPr="00161C1B" w:rsidRDefault="00B003CD" w:rsidP="00895231">
            <w:pPr>
              <w:jc w:val="center"/>
              <w:rPr>
                <w:sz w:val="22"/>
                <w:szCs w:val="22"/>
                <w:lang w:val="en-US"/>
              </w:rPr>
            </w:pPr>
            <w:r w:rsidRPr="00161C1B">
              <w:rPr>
                <w:sz w:val="22"/>
                <w:szCs w:val="22"/>
                <w:lang w:val="en-US"/>
              </w:rPr>
              <w:t>n/a</w:t>
            </w:r>
          </w:p>
        </w:tc>
        <w:tc>
          <w:tcPr>
            <w:tcW w:w="1559" w:type="dxa"/>
          </w:tcPr>
          <w:p w:rsidR="00B003CD" w:rsidRPr="00161C1B" w:rsidRDefault="00B003CD" w:rsidP="00895231">
            <w:pPr>
              <w:jc w:val="center"/>
              <w:rPr>
                <w:sz w:val="22"/>
                <w:szCs w:val="22"/>
                <w:lang w:val="en-US"/>
              </w:rPr>
            </w:pPr>
            <w:r w:rsidRPr="00161C1B">
              <w:rPr>
                <w:sz w:val="22"/>
                <w:szCs w:val="22"/>
                <w:lang w:val="en-US"/>
              </w:rPr>
              <w:t>1.5</w:t>
            </w:r>
          </w:p>
        </w:tc>
        <w:tc>
          <w:tcPr>
            <w:tcW w:w="992" w:type="dxa"/>
          </w:tcPr>
          <w:p w:rsidR="00B003CD" w:rsidRPr="00161C1B" w:rsidRDefault="00B003CD" w:rsidP="00895231">
            <w:pPr>
              <w:jc w:val="center"/>
              <w:rPr>
                <w:sz w:val="22"/>
                <w:szCs w:val="22"/>
                <w:lang w:val="en-US"/>
              </w:rPr>
            </w:pPr>
            <w:r w:rsidRPr="00161C1B">
              <w:rPr>
                <w:sz w:val="22"/>
                <w:szCs w:val="22"/>
                <w:lang w:val="en-US"/>
              </w:rPr>
              <w:t>n/a</w:t>
            </w:r>
          </w:p>
        </w:tc>
        <w:tc>
          <w:tcPr>
            <w:tcW w:w="1276" w:type="dxa"/>
          </w:tcPr>
          <w:p w:rsidR="00B003CD" w:rsidRPr="00161C1B" w:rsidRDefault="00B003CD" w:rsidP="00895231">
            <w:pPr>
              <w:jc w:val="center"/>
              <w:rPr>
                <w:sz w:val="22"/>
                <w:szCs w:val="22"/>
                <w:lang w:val="en-US"/>
              </w:rPr>
            </w:pPr>
            <w:r w:rsidRPr="00161C1B">
              <w:rPr>
                <w:sz w:val="22"/>
                <w:szCs w:val="22"/>
                <w:lang w:val="en-US"/>
              </w:rPr>
              <w:t>n/a</w:t>
            </w:r>
          </w:p>
        </w:tc>
        <w:tc>
          <w:tcPr>
            <w:tcW w:w="1276" w:type="dxa"/>
          </w:tcPr>
          <w:p w:rsidR="00B003CD" w:rsidRPr="00161C1B" w:rsidRDefault="00B003CD" w:rsidP="00895231">
            <w:pPr>
              <w:jc w:val="center"/>
              <w:rPr>
                <w:sz w:val="22"/>
                <w:szCs w:val="22"/>
                <w:lang w:val="en-US"/>
              </w:rPr>
            </w:pPr>
            <w:r w:rsidRPr="00161C1B">
              <w:rPr>
                <w:sz w:val="22"/>
                <w:szCs w:val="22"/>
                <w:lang w:val="en-US"/>
              </w:rPr>
              <w:t>1.8</w:t>
            </w:r>
          </w:p>
        </w:tc>
      </w:tr>
      <w:tr w:rsidR="00B003CD" w:rsidRPr="00161C1B" w:rsidTr="00895231">
        <w:tc>
          <w:tcPr>
            <w:tcW w:w="1101" w:type="dxa"/>
            <w:vMerge w:val="restart"/>
          </w:tcPr>
          <w:p w:rsidR="00B003CD" w:rsidRPr="00161C1B" w:rsidRDefault="00B003CD" w:rsidP="00895231">
            <w:pPr>
              <w:jc w:val="center"/>
              <w:rPr>
                <w:b/>
                <w:sz w:val="22"/>
                <w:szCs w:val="22"/>
                <w:lang w:val="en-US"/>
              </w:rPr>
            </w:pPr>
          </w:p>
          <w:p w:rsidR="00B003CD" w:rsidRPr="00161C1B" w:rsidRDefault="00B003CD" w:rsidP="00895231">
            <w:pPr>
              <w:jc w:val="center"/>
              <w:rPr>
                <w:b/>
                <w:sz w:val="22"/>
                <w:szCs w:val="22"/>
                <w:lang w:val="en-US"/>
              </w:rPr>
            </w:pPr>
            <w:r w:rsidRPr="00161C1B">
              <w:rPr>
                <w:b/>
                <w:sz w:val="22"/>
                <w:szCs w:val="22"/>
                <w:lang w:val="en-US"/>
              </w:rPr>
              <w:t>Cabinets</w:t>
            </w:r>
          </w:p>
        </w:tc>
        <w:tc>
          <w:tcPr>
            <w:tcW w:w="1701" w:type="dxa"/>
          </w:tcPr>
          <w:p w:rsidR="00B003CD" w:rsidRPr="00161C1B" w:rsidRDefault="00B003CD" w:rsidP="00895231">
            <w:pPr>
              <w:jc w:val="center"/>
              <w:rPr>
                <w:sz w:val="22"/>
                <w:szCs w:val="22"/>
                <w:lang w:val="en-US"/>
              </w:rPr>
            </w:pPr>
            <w:r w:rsidRPr="00161C1B">
              <w:rPr>
                <w:sz w:val="22"/>
                <w:szCs w:val="22"/>
                <w:lang w:val="en-US"/>
              </w:rPr>
              <w:t>SPD-DP-CDU</w:t>
            </w:r>
          </w:p>
          <w:p w:rsidR="00B003CD" w:rsidRPr="00161C1B" w:rsidRDefault="00B003CD" w:rsidP="00895231">
            <w:pPr>
              <w:jc w:val="center"/>
              <w:rPr>
                <w:sz w:val="22"/>
                <w:szCs w:val="22"/>
                <w:lang w:val="en-US"/>
              </w:rPr>
            </w:pPr>
            <w:r w:rsidRPr="00161C1B">
              <w:rPr>
                <w:sz w:val="22"/>
                <w:szCs w:val="22"/>
                <w:lang w:val="en-US"/>
              </w:rPr>
              <w:t>-FDP-Z-KPD</w:t>
            </w:r>
          </w:p>
        </w:tc>
        <w:tc>
          <w:tcPr>
            <w:tcW w:w="1559" w:type="dxa"/>
          </w:tcPr>
          <w:p w:rsidR="00B003CD" w:rsidRPr="00161C1B" w:rsidRDefault="00B003CD" w:rsidP="00895231">
            <w:pPr>
              <w:jc w:val="center"/>
              <w:rPr>
                <w:sz w:val="22"/>
                <w:szCs w:val="22"/>
                <w:lang w:val="en-US"/>
              </w:rPr>
            </w:pPr>
            <w:r w:rsidRPr="00161C1B">
              <w:rPr>
                <w:sz w:val="22"/>
                <w:szCs w:val="22"/>
                <w:lang w:val="en-US"/>
              </w:rPr>
              <w:t>SPD</w:t>
            </w:r>
          </w:p>
          <w:p w:rsidR="00B003CD" w:rsidRPr="00161C1B" w:rsidRDefault="00B003CD" w:rsidP="00895231">
            <w:pPr>
              <w:jc w:val="center"/>
              <w:rPr>
                <w:sz w:val="22"/>
                <w:szCs w:val="22"/>
                <w:lang w:val="en-US"/>
              </w:rPr>
            </w:pPr>
            <w:r w:rsidRPr="00161C1B">
              <w:rPr>
                <w:sz w:val="22"/>
                <w:szCs w:val="22"/>
                <w:lang w:val="en-US"/>
              </w:rPr>
              <w:t>-GB/BHE-Z</w:t>
            </w:r>
          </w:p>
        </w:tc>
        <w:tc>
          <w:tcPr>
            <w:tcW w:w="1559" w:type="dxa"/>
          </w:tcPr>
          <w:p w:rsidR="00B003CD" w:rsidRPr="00161C1B" w:rsidRDefault="00B003CD" w:rsidP="00895231">
            <w:pPr>
              <w:jc w:val="center"/>
              <w:rPr>
                <w:sz w:val="22"/>
                <w:szCs w:val="22"/>
                <w:lang w:val="en-US"/>
              </w:rPr>
            </w:pPr>
            <w:r w:rsidRPr="00161C1B">
              <w:rPr>
                <w:sz w:val="22"/>
                <w:szCs w:val="22"/>
                <w:lang w:val="en-US"/>
              </w:rPr>
              <w:t>DP-CDU-FDP-GB/BHE</w:t>
            </w:r>
          </w:p>
        </w:tc>
        <w:tc>
          <w:tcPr>
            <w:tcW w:w="992" w:type="dxa"/>
            <w:vMerge w:val="restart"/>
          </w:tcPr>
          <w:p w:rsidR="00B003CD" w:rsidRPr="00161C1B" w:rsidRDefault="00B003CD" w:rsidP="00895231">
            <w:pPr>
              <w:jc w:val="center"/>
              <w:rPr>
                <w:sz w:val="22"/>
                <w:szCs w:val="22"/>
                <w:lang w:val="en-US"/>
              </w:rPr>
            </w:pPr>
          </w:p>
          <w:p w:rsidR="00B003CD" w:rsidRPr="00161C1B" w:rsidRDefault="00B003CD" w:rsidP="00895231">
            <w:pPr>
              <w:jc w:val="center"/>
              <w:rPr>
                <w:sz w:val="22"/>
                <w:szCs w:val="22"/>
                <w:lang w:val="en-US"/>
              </w:rPr>
            </w:pPr>
            <w:r w:rsidRPr="00161C1B">
              <w:rPr>
                <w:sz w:val="22"/>
                <w:szCs w:val="22"/>
                <w:lang w:val="en-US"/>
              </w:rPr>
              <w:t>CDU</w:t>
            </w:r>
          </w:p>
        </w:tc>
        <w:tc>
          <w:tcPr>
            <w:tcW w:w="1276" w:type="dxa"/>
            <w:vMerge w:val="restart"/>
          </w:tcPr>
          <w:p w:rsidR="00B003CD" w:rsidRPr="00161C1B" w:rsidRDefault="00B003CD" w:rsidP="00895231">
            <w:pPr>
              <w:jc w:val="center"/>
              <w:rPr>
                <w:sz w:val="22"/>
                <w:szCs w:val="22"/>
                <w:lang w:val="en-US"/>
              </w:rPr>
            </w:pPr>
          </w:p>
          <w:p w:rsidR="00B003CD" w:rsidRPr="00161C1B" w:rsidRDefault="00B003CD" w:rsidP="00895231">
            <w:pPr>
              <w:jc w:val="center"/>
              <w:rPr>
                <w:sz w:val="22"/>
                <w:szCs w:val="22"/>
                <w:lang w:val="en-US"/>
              </w:rPr>
            </w:pPr>
            <w:r w:rsidRPr="00161C1B">
              <w:rPr>
                <w:sz w:val="22"/>
                <w:szCs w:val="22"/>
                <w:lang w:val="en-US"/>
              </w:rPr>
              <w:t>CDU-SPD</w:t>
            </w:r>
          </w:p>
        </w:tc>
        <w:tc>
          <w:tcPr>
            <w:tcW w:w="1276" w:type="dxa"/>
            <w:vMerge w:val="restart"/>
          </w:tcPr>
          <w:p w:rsidR="00B003CD" w:rsidRPr="00161C1B" w:rsidRDefault="00B003CD" w:rsidP="00895231">
            <w:pPr>
              <w:jc w:val="center"/>
              <w:rPr>
                <w:sz w:val="22"/>
                <w:szCs w:val="22"/>
                <w:lang w:val="en-US"/>
              </w:rPr>
            </w:pPr>
          </w:p>
          <w:p w:rsidR="00B003CD" w:rsidRPr="00161C1B" w:rsidRDefault="00B003CD" w:rsidP="00895231">
            <w:pPr>
              <w:jc w:val="center"/>
              <w:rPr>
                <w:sz w:val="22"/>
                <w:szCs w:val="22"/>
                <w:lang w:val="en-US"/>
              </w:rPr>
            </w:pPr>
            <w:r w:rsidRPr="00161C1B">
              <w:rPr>
                <w:sz w:val="22"/>
                <w:szCs w:val="22"/>
                <w:lang w:val="en-US"/>
              </w:rPr>
              <w:t>CDU-FDP</w:t>
            </w:r>
          </w:p>
        </w:tc>
      </w:tr>
      <w:tr w:rsidR="00B003CD" w:rsidRPr="00161C1B" w:rsidTr="00895231">
        <w:tc>
          <w:tcPr>
            <w:tcW w:w="1101" w:type="dxa"/>
            <w:vMerge/>
          </w:tcPr>
          <w:p w:rsidR="00B003CD" w:rsidRPr="00161C1B" w:rsidRDefault="00B003CD" w:rsidP="00895231">
            <w:pPr>
              <w:jc w:val="center"/>
              <w:rPr>
                <w:b/>
                <w:sz w:val="22"/>
                <w:szCs w:val="22"/>
                <w:lang w:val="en-US"/>
              </w:rPr>
            </w:pPr>
          </w:p>
        </w:tc>
        <w:tc>
          <w:tcPr>
            <w:tcW w:w="1701" w:type="dxa"/>
          </w:tcPr>
          <w:p w:rsidR="00B003CD" w:rsidRPr="00161C1B" w:rsidRDefault="00B003CD" w:rsidP="00895231">
            <w:pPr>
              <w:jc w:val="center"/>
              <w:rPr>
                <w:sz w:val="22"/>
                <w:szCs w:val="22"/>
                <w:lang w:val="en-US"/>
              </w:rPr>
            </w:pPr>
            <w:r w:rsidRPr="00161C1B">
              <w:rPr>
                <w:sz w:val="22"/>
                <w:szCs w:val="22"/>
                <w:lang w:val="en-US"/>
              </w:rPr>
              <w:t>SPD-DP-CDU</w:t>
            </w:r>
          </w:p>
          <w:p w:rsidR="00B003CD" w:rsidRPr="00161C1B" w:rsidRDefault="00B003CD" w:rsidP="00895231">
            <w:pPr>
              <w:jc w:val="center"/>
              <w:rPr>
                <w:sz w:val="22"/>
                <w:szCs w:val="22"/>
                <w:lang w:val="en-US"/>
              </w:rPr>
            </w:pPr>
            <w:r w:rsidRPr="00161C1B">
              <w:rPr>
                <w:sz w:val="22"/>
                <w:szCs w:val="22"/>
                <w:lang w:val="en-US"/>
              </w:rPr>
              <w:t>-FDP-Z</w:t>
            </w:r>
          </w:p>
        </w:tc>
        <w:tc>
          <w:tcPr>
            <w:tcW w:w="1559" w:type="dxa"/>
            <w:vMerge w:val="restart"/>
          </w:tcPr>
          <w:p w:rsidR="00B003CD" w:rsidRPr="00161C1B" w:rsidRDefault="00B003CD" w:rsidP="00895231">
            <w:pPr>
              <w:jc w:val="center"/>
              <w:rPr>
                <w:sz w:val="22"/>
                <w:szCs w:val="22"/>
                <w:lang w:val="en-US"/>
              </w:rPr>
            </w:pPr>
            <w:r w:rsidRPr="00161C1B">
              <w:rPr>
                <w:sz w:val="22"/>
                <w:szCs w:val="22"/>
                <w:lang w:val="en-US"/>
              </w:rPr>
              <w:t>SPD-GB/BHE</w:t>
            </w:r>
          </w:p>
        </w:tc>
        <w:tc>
          <w:tcPr>
            <w:tcW w:w="1559" w:type="dxa"/>
            <w:vMerge w:val="restart"/>
          </w:tcPr>
          <w:p w:rsidR="00B003CD" w:rsidRPr="00161C1B" w:rsidRDefault="00B003CD" w:rsidP="00895231">
            <w:pPr>
              <w:jc w:val="center"/>
              <w:rPr>
                <w:sz w:val="22"/>
                <w:szCs w:val="22"/>
                <w:lang w:val="en-US"/>
              </w:rPr>
            </w:pPr>
            <w:r w:rsidRPr="00161C1B">
              <w:rPr>
                <w:sz w:val="22"/>
                <w:szCs w:val="22"/>
                <w:lang w:val="en-US"/>
              </w:rPr>
              <w:t>DP-CDU-SPD</w:t>
            </w:r>
          </w:p>
        </w:tc>
        <w:tc>
          <w:tcPr>
            <w:tcW w:w="992" w:type="dxa"/>
            <w:vMerge/>
          </w:tcPr>
          <w:p w:rsidR="00B003CD" w:rsidRPr="00161C1B" w:rsidRDefault="00B003CD" w:rsidP="00895231">
            <w:pPr>
              <w:jc w:val="center"/>
              <w:rPr>
                <w:sz w:val="22"/>
                <w:szCs w:val="22"/>
                <w:lang w:val="en-US"/>
              </w:rPr>
            </w:pPr>
          </w:p>
        </w:tc>
        <w:tc>
          <w:tcPr>
            <w:tcW w:w="1276" w:type="dxa"/>
            <w:vMerge/>
          </w:tcPr>
          <w:p w:rsidR="00B003CD" w:rsidRPr="00161C1B" w:rsidRDefault="00B003CD" w:rsidP="00895231">
            <w:pPr>
              <w:jc w:val="center"/>
              <w:rPr>
                <w:sz w:val="22"/>
                <w:szCs w:val="22"/>
                <w:lang w:val="en-US"/>
              </w:rPr>
            </w:pPr>
          </w:p>
        </w:tc>
        <w:tc>
          <w:tcPr>
            <w:tcW w:w="1276" w:type="dxa"/>
            <w:vMerge/>
          </w:tcPr>
          <w:p w:rsidR="00B003CD" w:rsidRPr="00161C1B" w:rsidRDefault="00B003CD" w:rsidP="00895231">
            <w:pPr>
              <w:jc w:val="center"/>
              <w:rPr>
                <w:sz w:val="22"/>
                <w:szCs w:val="22"/>
                <w:lang w:val="en-US"/>
              </w:rPr>
            </w:pPr>
          </w:p>
        </w:tc>
      </w:tr>
      <w:tr w:rsidR="00B003CD" w:rsidRPr="00161C1B" w:rsidTr="00895231">
        <w:tc>
          <w:tcPr>
            <w:tcW w:w="1101" w:type="dxa"/>
            <w:vMerge/>
          </w:tcPr>
          <w:p w:rsidR="00B003CD" w:rsidRPr="00161C1B" w:rsidRDefault="00B003CD" w:rsidP="00895231">
            <w:pPr>
              <w:jc w:val="center"/>
              <w:rPr>
                <w:sz w:val="22"/>
                <w:szCs w:val="22"/>
                <w:lang w:val="en-US"/>
              </w:rPr>
            </w:pPr>
          </w:p>
        </w:tc>
        <w:tc>
          <w:tcPr>
            <w:tcW w:w="1701" w:type="dxa"/>
            <w:vAlign w:val="bottom"/>
          </w:tcPr>
          <w:p w:rsidR="00B003CD" w:rsidRPr="00161C1B" w:rsidRDefault="00B003CD" w:rsidP="00895231">
            <w:pPr>
              <w:jc w:val="center"/>
              <w:rPr>
                <w:color w:val="000000"/>
                <w:sz w:val="22"/>
                <w:szCs w:val="22"/>
              </w:rPr>
            </w:pPr>
            <w:r w:rsidRPr="00161C1B">
              <w:rPr>
                <w:color w:val="000000"/>
                <w:sz w:val="22"/>
                <w:szCs w:val="22"/>
              </w:rPr>
              <w:t>SPD-CDU-Z</w:t>
            </w:r>
          </w:p>
        </w:tc>
        <w:tc>
          <w:tcPr>
            <w:tcW w:w="1559" w:type="dxa"/>
            <w:vMerge/>
            <w:vAlign w:val="bottom"/>
          </w:tcPr>
          <w:p w:rsidR="00B003CD" w:rsidRPr="00161C1B" w:rsidRDefault="00B003CD" w:rsidP="00895231">
            <w:pPr>
              <w:rPr>
                <w:color w:val="000000"/>
                <w:sz w:val="22"/>
                <w:szCs w:val="22"/>
              </w:rPr>
            </w:pPr>
          </w:p>
        </w:tc>
        <w:tc>
          <w:tcPr>
            <w:tcW w:w="1559" w:type="dxa"/>
            <w:vMerge/>
            <w:vAlign w:val="bottom"/>
          </w:tcPr>
          <w:p w:rsidR="00B003CD" w:rsidRPr="00161C1B" w:rsidRDefault="00B003CD" w:rsidP="00895231">
            <w:pPr>
              <w:rPr>
                <w:color w:val="000000"/>
                <w:sz w:val="22"/>
                <w:szCs w:val="22"/>
              </w:rPr>
            </w:pPr>
          </w:p>
        </w:tc>
        <w:tc>
          <w:tcPr>
            <w:tcW w:w="992" w:type="dxa"/>
            <w:vMerge/>
          </w:tcPr>
          <w:p w:rsidR="00B003CD" w:rsidRPr="00161C1B" w:rsidRDefault="00B003CD" w:rsidP="00895231">
            <w:pPr>
              <w:rPr>
                <w:color w:val="000000"/>
                <w:sz w:val="22"/>
                <w:szCs w:val="22"/>
              </w:rPr>
            </w:pPr>
          </w:p>
        </w:tc>
        <w:tc>
          <w:tcPr>
            <w:tcW w:w="1276" w:type="dxa"/>
            <w:vMerge/>
          </w:tcPr>
          <w:p w:rsidR="00B003CD" w:rsidRPr="00161C1B" w:rsidRDefault="00B003CD" w:rsidP="00895231">
            <w:pPr>
              <w:rPr>
                <w:color w:val="000000"/>
                <w:sz w:val="22"/>
                <w:szCs w:val="22"/>
              </w:rPr>
            </w:pPr>
          </w:p>
        </w:tc>
        <w:tc>
          <w:tcPr>
            <w:tcW w:w="1276" w:type="dxa"/>
            <w:vMerge/>
          </w:tcPr>
          <w:p w:rsidR="00B003CD" w:rsidRPr="00161C1B" w:rsidRDefault="00B003CD" w:rsidP="00895231">
            <w:pPr>
              <w:rPr>
                <w:color w:val="000000"/>
                <w:sz w:val="22"/>
                <w:szCs w:val="22"/>
              </w:rPr>
            </w:pPr>
          </w:p>
        </w:tc>
      </w:tr>
    </w:tbl>
    <w:p w:rsidR="00B003CD" w:rsidRDefault="00B003CD" w:rsidP="00B003CD">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i/>
          <w:lang w:val="en-US"/>
        </w:rPr>
        <w:t>Note</w:t>
      </w:r>
      <w:r w:rsidRPr="00161C1B">
        <w:rPr>
          <w:rFonts w:ascii="Times New Roman" w:hAnsi="Times New Roman" w:cs="Times New Roman"/>
          <w:lang w:val="en-US"/>
        </w:rPr>
        <w:t xml:space="preserve">: In brackets a simulation of the level of fragmentation assuming an electoral coalition between the CDU </w:t>
      </w:r>
    </w:p>
    <w:p w:rsidR="003D2729" w:rsidRDefault="003D2729" w:rsidP="00B003CD">
      <w:pPr>
        <w:spacing w:after="0" w:line="360" w:lineRule="auto"/>
        <w:jc w:val="both"/>
        <w:rPr>
          <w:rFonts w:ascii="Times New Roman" w:hAnsi="Times New Roman" w:cs="Times New Roman"/>
          <w:sz w:val="24"/>
          <w:szCs w:val="24"/>
          <w:lang w:val="en-US"/>
        </w:rPr>
      </w:pPr>
    </w:p>
    <w:p w:rsidR="00B003CD" w:rsidRPr="00161C1B" w:rsidRDefault="003D2729" w:rsidP="00B003C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003CD" w:rsidRPr="00161C1B">
        <w:rPr>
          <w:rFonts w:ascii="Times New Roman" w:hAnsi="Times New Roman" w:cs="Times New Roman"/>
          <w:sz w:val="24"/>
          <w:szCs w:val="24"/>
          <w:lang w:val="en-US"/>
        </w:rPr>
        <w:t xml:space="preserve">s we also pointed out </w:t>
      </w:r>
      <w:r>
        <w:rPr>
          <w:rFonts w:ascii="Times New Roman" w:hAnsi="Times New Roman" w:cs="Times New Roman"/>
          <w:sz w:val="24"/>
          <w:szCs w:val="24"/>
          <w:lang w:val="en-US"/>
        </w:rPr>
        <w:t>above</w:t>
      </w:r>
      <w:r w:rsidR="00B003CD" w:rsidRPr="00161C1B">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legalization or failure to ban </w:t>
      </w:r>
      <w:r w:rsidR="00B003CD" w:rsidRPr="00161C1B">
        <w:rPr>
          <w:rFonts w:ascii="Times New Roman" w:hAnsi="Times New Roman" w:cs="Times New Roman"/>
          <w:sz w:val="24"/>
          <w:szCs w:val="24"/>
          <w:lang w:val="en-US"/>
        </w:rPr>
        <w:t xml:space="preserve">a party can </w:t>
      </w:r>
      <w:r>
        <w:rPr>
          <w:rFonts w:ascii="Times New Roman" w:hAnsi="Times New Roman" w:cs="Times New Roman"/>
          <w:sz w:val="24"/>
          <w:szCs w:val="24"/>
          <w:lang w:val="en-US"/>
        </w:rPr>
        <w:t xml:space="preserve">also </w:t>
      </w:r>
      <w:r w:rsidR="00B003CD" w:rsidRPr="00161C1B">
        <w:rPr>
          <w:rFonts w:ascii="Times New Roman" w:hAnsi="Times New Roman" w:cs="Times New Roman"/>
          <w:sz w:val="24"/>
          <w:szCs w:val="24"/>
          <w:lang w:val="en-US"/>
        </w:rPr>
        <w:t>have important effects o</w:t>
      </w:r>
      <w:r>
        <w:rPr>
          <w:rFonts w:ascii="Times New Roman" w:hAnsi="Times New Roman" w:cs="Times New Roman"/>
          <w:sz w:val="24"/>
          <w:szCs w:val="24"/>
          <w:lang w:val="en-US"/>
        </w:rPr>
        <w:t>n</w:t>
      </w:r>
      <w:r w:rsidR="00B003CD" w:rsidRPr="00161C1B">
        <w:rPr>
          <w:rFonts w:ascii="Times New Roman" w:hAnsi="Times New Roman" w:cs="Times New Roman"/>
          <w:sz w:val="24"/>
          <w:szCs w:val="24"/>
          <w:lang w:val="en-US"/>
        </w:rPr>
        <w:t xml:space="preserve"> the development of a party system. In Germany this is the case </w:t>
      </w:r>
      <w:r>
        <w:rPr>
          <w:rFonts w:ascii="Times New Roman" w:hAnsi="Times New Roman" w:cs="Times New Roman"/>
          <w:sz w:val="24"/>
          <w:szCs w:val="24"/>
          <w:lang w:val="en-US"/>
        </w:rPr>
        <w:t xml:space="preserve">with the </w:t>
      </w:r>
      <w:r w:rsidR="00B003CD" w:rsidRPr="00161C1B">
        <w:rPr>
          <w:rFonts w:ascii="Times New Roman" w:hAnsi="Times New Roman" w:cs="Times New Roman"/>
          <w:sz w:val="24"/>
          <w:szCs w:val="24"/>
          <w:lang w:val="en-US"/>
        </w:rPr>
        <w:t xml:space="preserve">National Democratic Party (NDP), </w:t>
      </w:r>
      <w:r>
        <w:rPr>
          <w:rFonts w:ascii="Times New Roman" w:hAnsi="Times New Roman" w:cs="Times New Roman"/>
          <w:sz w:val="24"/>
          <w:szCs w:val="24"/>
          <w:lang w:val="en-US"/>
        </w:rPr>
        <w:t xml:space="preserve">which is </w:t>
      </w:r>
      <w:r w:rsidR="00B003CD" w:rsidRPr="00161C1B">
        <w:rPr>
          <w:rFonts w:ascii="Times New Roman" w:hAnsi="Times New Roman" w:cs="Times New Roman"/>
          <w:sz w:val="24"/>
          <w:szCs w:val="24"/>
          <w:lang w:val="en-US"/>
        </w:rPr>
        <w:t>trivial at the national level (less than 2 percent of the vote since 1965),</w:t>
      </w:r>
      <w:r w:rsidR="00B003CD" w:rsidRPr="00161C1B">
        <w:rPr>
          <w:rStyle w:val="FootnoteReference"/>
          <w:rFonts w:ascii="Times New Roman" w:hAnsi="Times New Roman" w:cs="Times New Roman"/>
          <w:sz w:val="24"/>
          <w:szCs w:val="24"/>
          <w:lang w:val="en-US"/>
        </w:rPr>
        <w:footnoteReference w:id="10"/>
      </w:r>
      <w:r w:rsidR="00B003CD" w:rsidRPr="00161C1B">
        <w:rPr>
          <w:rFonts w:ascii="Times New Roman" w:hAnsi="Times New Roman" w:cs="Times New Roman"/>
          <w:sz w:val="24"/>
          <w:szCs w:val="24"/>
          <w:lang w:val="en-US"/>
        </w:rPr>
        <w:t xml:space="preserve"> but relevant in Saxony and Mecklenburg-Western Pomerania, where the party has an important legislative representation. The last three columns of </w:t>
      </w:r>
      <w:r>
        <w:rPr>
          <w:rFonts w:ascii="Times New Roman" w:hAnsi="Times New Roman" w:cs="Times New Roman"/>
          <w:sz w:val="24"/>
          <w:szCs w:val="24"/>
          <w:lang w:val="en-US"/>
        </w:rPr>
        <w:t>T</w:t>
      </w:r>
      <w:r w:rsidR="00B003CD" w:rsidRPr="00161C1B">
        <w:rPr>
          <w:rFonts w:ascii="Times New Roman" w:hAnsi="Times New Roman" w:cs="Times New Roman"/>
          <w:sz w:val="24"/>
          <w:szCs w:val="24"/>
          <w:lang w:val="en-US"/>
        </w:rPr>
        <w:t>able 5 look only at the Saxon party system, but similar conclusions could be drawn from the Western Pomeranian case.</w:t>
      </w:r>
    </w:p>
    <w:p w:rsidR="00B003CD" w:rsidRDefault="00B003CD" w:rsidP="00B003CD">
      <w:pPr>
        <w:spacing w:after="0" w:line="360" w:lineRule="auto"/>
        <w:jc w:val="both"/>
        <w:rPr>
          <w:rFonts w:ascii="Times New Roman" w:hAnsi="Times New Roman" w:cs="Times New Roman"/>
          <w:sz w:val="24"/>
          <w:szCs w:val="24"/>
          <w:lang w:val="en-US"/>
        </w:rPr>
      </w:pPr>
    </w:p>
    <w:p w:rsidR="00B003CD" w:rsidRDefault="00B003CD" w:rsidP="00B003CD">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A first attempt</w:t>
      </w:r>
      <w:r w:rsidRPr="00161C1B">
        <w:rPr>
          <w:rStyle w:val="FootnoteReference"/>
          <w:rFonts w:ascii="Times New Roman" w:hAnsi="Times New Roman" w:cs="Times New Roman"/>
          <w:sz w:val="24"/>
          <w:szCs w:val="24"/>
          <w:lang w:val="en-US"/>
        </w:rPr>
        <w:footnoteReference w:id="11"/>
      </w:r>
      <w:r w:rsidRPr="00161C1B">
        <w:rPr>
          <w:rFonts w:ascii="Times New Roman" w:hAnsi="Times New Roman" w:cs="Times New Roman"/>
          <w:sz w:val="24"/>
          <w:szCs w:val="24"/>
          <w:lang w:val="en-US"/>
        </w:rPr>
        <w:t xml:space="preserve"> to ban the NDP took place in 2001, but the case was abandoned </w:t>
      </w:r>
      <w:r w:rsidR="003D2729">
        <w:rPr>
          <w:rFonts w:ascii="Times New Roman" w:hAnsi="Times New Roman" w:cs="Times New Roman"/>
          <w:sz w:val="24"/>
          <w:szCs w:val="24"/>
          <w:lang w:val="en-US"/>
        </w:rPr>
        <w:t xml:space="preserve">when the Constitutional Court dismissed the case on procedural grounds </w:t>
      </w:r>
      <w:r w:rsidR="00783A6C">
        <w:rPr>
          <w:rFonts w:ascii="Times New Roman" w:hAnsi="Times New Roman" w:cs="Times New Roman"/>
          <w:sz w:val="24"/>
          <w:szCs w:val="24"/>
          <w:lang w:val="en-US"/>
        </w:rPr>
        <w:t xml:space="preserve">in </w:t>
      </w:r>
      <w:r w:rsidRPr="00161C1B">
        <w:rPr>
          <w:rFonts w:ascii="Times New Roman" w:hAnsi="Times New Roman" w:cs="Times New Roman"/>
          <w:sz w:val="24"/>
          <w:szCs w:val="24"/>
          <w:lang w:val="en-US"/>
        </w:rPr>
        <w:t xml:space="preserve">2003. As it follows from table 5 </w:t>
      </w:r>
      <w:r w:rsidR="00526160">
        <w:rPr>
          <w:rFonts w:ascii="Times New Roman" w:hAnsi="Times New Roman" w:cs="Times New Roman"/>
          <w:sz w:val="24"/>
          <w:szCs w:val="24"/>
          <w:lang w:val="en-US"/>
        </w:rPr>
        <w:t xml:space="preserve">the failure to ban the NDP </w:t>
      </w:r>
      <w:r w:rsidRPr="00161C1B">
        <w:rPr>
          <w:rFonts w:ascii="Times New Roman" w:hAnsi="Times New Roman" w:cs="Times New Roman"/>
          <w:sz w:val="24"/>
          <w:szCs w:val="24"/>
          <w:lang w:val="en-US"/>
        </w:rPr>
        <w:t xml:space="preserve">clearly had important consequences for the development of the party system in Saxony. Indeed, </w:t>
      </w:r>
      <w:r w:rsidR="00526160">
        <w:rPr>
          <w:rFonts w:ascii="Times New Roman" w:hAnsi="Times New Roman" w:cs="Times New Roman"/>
          <w:sz w:val="24"/>
          <w:szCs w:val="24"/>
          <w:lang w:val="en-US"/>
        </w:rPr>
        <w:t xml:space="preserve">it </w:t>
      </w:r>
      <w:r w:rsidRPr="00161C1B">
        <w:rPr>
          <w:rFonts w:ascii="Times New Roman" w:hAnsi="Times New Roman" w:cs="Times New Roman"/>
          <w:sz w:val="24"/>
          <w:szCs w:val="24"/>
          <w:lang w:val="en-US"/>
        </w:rPr>
        <w:t xml:space="preserve">allowed </w:t>
      </w:r>
      <w:r w:rsidR="00783A6C">
        <w:rPr>
          <w:rFonts w:ascii="Times New Roman" w:hAnsi="Times New Roman" w:cs="Times New Roman"/>
          <w:sz w:val="24"/>
          <w:szCs w:val="24"/>
          <w:lang w:val="en-US"/>
        </w:rPr>
        <w:t xml:space="preserve">the party </w:t>
      </w:r>
      <w:r w:rsidRPr="00161C1B">
        <w:rPr>
          <w:rFonts w:ascii="Times New Roman" w:hAnsi="Times New Roman" w:cs="Times New Roman"/>
          <w:sz w:val="24"/>
          <w:szCs w:val="24"/>
          <w:lang w:val="en-US"/>
        </w:rPr>
        <w:t xml:space="preserve">to present candidates </w:t>
      </w:r>
      <w:r w:rsidR="00526160">
        <w:rPr>
          <w:rFonts w:ascii="Times New Roman" w:hAnsi="Times New Roman" w:cs="Times New Roman"/>
          <w:sz w:val="24"/>
          <w:szCs w:val="24"/>
          <w:lang w:val="en-US"/>
        </w:rPr>
        <w:t xml:space="preserve">again </w:t>
      </w:r>
      <w:r w:rsidRPr="00161C1B">
        <w:rPr>
          <w:rFonts w:ascii="Times New Roman" w:hAnsi="Times New Roman" w:cs="Times New Roman"/>
          <w:sz w:val="24"/>
          <w:szCs w:val="24"/>
          <w:lang w:val="en-US"/>
        </w:rPr>
        <w:t xml:space="preserve">in the 2004 elections with great success: </w:t>
      </w:r>
      <w:r w:rsidR="00526160">
        <w:rPr>
          <w:rFonts w:ascii="Times New Roman" w:hAnsi="Times New Roman" w:cs="Times New Roman"/>
          <w:sz w:val="24"/>
          <w:szCs w:val="24"/>
          <w:lang w:val="en-US"/>
        </w:rPr>
        <w:t xml:space="preserve">the NPD </w:t>
      </w:r>
      <w:r w:rsidRPr="00161C1B">
        <w:rPr>
          <w:rFonts w:ascii="Times New Roman" w:hAnsi="Times New Roman" w:cs="Times New Roman"/>
          <w:sz w:val="24"/>
          <w:szCs w:val="24"/>
          <w:lang w:val="en-US"/>
        </w:rPr>
        <w:t xml:space="preserve">passed from 1.4 vote </w:t>
      </w:r>
      <w:proofErr w:type="gramStart"/>
      <w:r w:rsidRPr="00161C1B">
        <w:rPr>
          <w:rFonts w:ascii="Times New Roman" w:hAnsi="Times New Roman" w:cs="Times New Roman"/>
          <w:sz w:val="24"/>
          <w:szCs w:val="24"/>
          <w:lang w:val="en-US"/>
        </w:rPr>
        <w:t>percentage</w:t>
      </w:r>
      <w:proofErr w:type="gramEnd"/>
      <w:r w:rsidRPr="00161C1B">
        <w:rPr>
          <w:rFonts w:ascii="Times New Roman" w:hAnsi="Times New Roman" w:cs="Times New Roman"/>
          <w:sz w:val="24"/>
          <w:szCs w:val="24"/>
          <w:lang w:val="en-US"/>
        </w:rPr>
        <w:t xml:space="preserve"> in 1999 to 9.2 in 2004. The result was not only an increase in the level of electoral volatility, but also </w:t>
      </w:r>
      <w:r w:rsidR="00526160">
        <w:rPr>
          <w:rFonts w:ascii="Times New Roman" w:hAnsi="Times New Roman" w:cs="Times New Roman"/>
          <w:sz w:val="24"/>
          <w:szCs w:val="24"/>
          <w:lang w:val="en-US"/>
        </w:rPr>
        <w:t xml:space="preserve">a </w:t>
      </w:r>
      <w:r w:rsidRPr="00161C1B">
        <w:rPr>
          <w:rFonts w:ascii="Times New Roman" w:hAnsi="Times New Roman" w:cs="Times New Roman"/>
          <w:sz w:val="24"/>
          <w:szCs w:val="24"/>
          <w:lang w:val="en-US"/>
        </w:rPr>
        <w:t>clear change in the format of the Saxon party system which passed from an hegemonic party system with two-and-a-half parties (the hegemonic CDU, together with the SPD and the PDS) to a limited pluralist party system where the NDP</w:t>
      </w:r>
      <w:r w:rsidR="00526160">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added to the PDS</w:t>
      </w:r>
      <w:r w:rsidR="00526160">
        <w:rPr>
          <w:rFonts w:ascii="Times New Roman" w:hAnsi="Times New Roman" w:cs="Times New Roman"/>
          <w:sz w:val="24"/>
          <w:szCs w:val="24"/>
          <w:lang w:val="en-US"/>
        </w:rPr>
        <w:t>, emerged</w:t>
      </w:r>
      <w:r w:rsidRPr="00161C1B">
        <w:rPr>
          <w:rFonts w:ascii="Times New Roman" w:hAnsi="Times New Roman" w:cs="Times New Roman"/>
          <w:sz w:val="24"/>
          <w:szCs w:val="24"/>
          <w:lang w:val="en-US"/>
        </w:rPr>
        <w:t xml:space="preserve"> as parties with “blackmail” potential. </w:t>
      </w:r>
      <w:r w:rsidR="00526160">
        <w:rPr>
          <w:rFonts w:ascii="Times New Roman" w:hAnsi="Times New Roman" w:cs="Times New Roman"/>
          <w:sz w:val="24"/>
          <w:szCs w:val="24"/>
          <w:lang w:val="en-US"/>
        </w:rPr>
        <w:t>I</w:t>
      </w:r>
      <w:r w:rsidRPr="00161C1B">
        <w:rPr>
          <w:rFonts w:ascii="Times New Roman" w:hAnsi="Times New Roman" w:cs="Times New Roman"/>
          <w:sz w:val="24"/>
          <w:szCs w:val="24"/>
          <w:lang w:val="en-US"/>
        </w:rPr>
        <w:t>n terms of the patterns of partisan interaction, the electoral success of the NDP</w:t>
      </w:r>
      <w:r w:rsidR="00925BC1">
        <w:rPr>
          <w:rFonts w:ascii="Times New Roman" w:hAnsi="Times New Roman" w:cs="Times New Roman"/>
          <w:sz w:val="24"/>
          <w:szCs w:val="24"/>
          <w:lang w:val="en-US"/>
        </w:rPr>
        <w:t xml:space="preserve"> </w:t>
      </w:r>
      <w:r w:rsidRPr="00161C1B">
        <w:rPr>
          <w:rFonts w:ascii="Times New Roman" w:hAnsi="Times New Roman" w:cs="Times New Roman"/>
          <w:sz w:val="24"/>
          <w:szCs w:val="24"/>
          <w:lang w:val="en-US"/>
        </w:rPr>
        <w:t>ended with almost fifteen years</w:t>
      </w:r>
      <w:r w:rsidRPr="00161C1B">
        <w:rPr>
          <w:rStyle w:val="FootnoteReference"/>
          <w:rFonts w:ascii="Times New Roman" w:hAnsi="Times New Roman" w:cs="Times New Roman"/>
          <w:sz w:val="24"/>
          <w:szCs w:val="24"/>
          <w:lang w:val="en-US"/>
        </w:rPr>
        <w:footnoteReference w:id="12"/>
      </w:r>
      <w:r w:rsidRPr="00161C1B">
        <w:rPr>
          <w:rFonts w:ascii="Times New Roman" w:hAnsi="Times New Roman" w:cs="Times New Roman"/>
          <w:sz w:val="24"/>
          <w:szCs w:val="24"/>
          <w:lang w:val="en-US"/>
        </w:rPr>
        <w:t xml:space="preserve"> of CDU </w:t>
      </w:r>
      <w:r w:rsidRPr="00161C1B">
        <w:rPr>
          <w:rFonts w:ascii="Times New Roman" w:hAnsi="Times New Roman" w:cs="Times New Roman"/>
          <w:sz w:val="24"/>
          <w:szCs w:val="24"/>
          <w:lang w:val="en-US"/>
        </w:rPr>
        <w:lastRenderedPageBreak/>
        <w:t>dominance, obliging it to form a “gr</w:t>
      </w:r>
      <w:r w:rsidR="00526160">
        <w:rPr>
          <w:rFonts w:ascii="Times New Roman" w:hAnsi="Times New Roman" w:cs="Times New Roman"/>
          <w:sz w:val="24"/>
          <w:szCs w:val="24"/>
          <w:lang w:val="en-US"/>
        </w:rPr>
        <w:t>and</w:t>
      </w:r>
      <w:r w:rsidRPr="00161C1B">
        <w:rPr>
          <w:rFonts w:ascii="Times New Roman" w:hAnsi="Times New Roman" w:cs="Times New Roman"/>
          <w:sz w:val="24"/>
          <w:szCs w:val="24"/>
          <w:lang w:val="en-US"/>
        </w:rPr>
        <w:t xml:space="preserve"> coalition” with the SPD. This would be followed by another coalition, this time with the FDP in 2009. In other words, the </w:t>
      </w:r>
      <w:r w:rsidR="00526160">
        <w:rPr>
          <w:rFonts w:ascii="Times New Roman" w:hAnsi="Times New Roman" w:cs="Times New Roman"/>
          <w:sz w:val="24"/>
          <w:szCs w:val="24"/>
          <w:lang w:val="en-US"/>
        </w:rPr>
        <w:t xml:space="preserve">failure to ban </w:t>
      </w:r>
      <w:r w:rsidRPr="00161C1B">
        <w:rPr>
          <w:rFonts w:ascii="Times New Roman" w:hAnsi="Times New Roman" w:cs="Times New Roman"/>
          <w:sz w:val="24"/>
          <w:szCs w:val="24"/>
          <w:lang w:val="en-US"/>
        </w:rPr>
        <w:t>NDP had important consequences for the structure of inter-party competition in the Saxon region.</w:t>
      </w:r>
      <w:r w:rsidR="00925BC1">
        <w:rPr>
          <w:rFonts w:ascii="Times New Roman" w:hAnsi="Times New Roman" w:cs="Times New Roman"/>
          <w:sz w:val="24"/>
          <w:szCs w:val="24"/>
          <w:lang w:val="en-US"/>
        </w:rPr>
        <w:t xml:space="preserve"> </w:t>
      </w:r>
      <w:r w:rsidR="00526160">
        <w:rPr>
          <w:rFonts w:ascii="Times New Roman" w:hAnsi="Times New Roman" w:cs="Times New Roman"/>
          <w:sz w:val="24"/>
          <w:szCs w:val="24"/>
          <w:lang w:val="en-US"/>
        </w:rPr>
        <w:t>D</w:t>
      </w:r>
      <w:r w:rsidRPr="00161C1B">
        <w:rPr>
          <w:rFonts w:ascii="Times New Roman" w:hAnsi="Times New Roman" w:cs="Times New Roman"/>
          <w:sz w:val="24"/>
          <w:szCs w:val="24"/>
          <w:lang w:val="en-US"/>
        </w:rPr>
        <w:t>eprived of an absolute majority and “trapped” by two anti-establishment parties at the fringes of the political spectrum, CDU had no other option but to collaborate with the other two parties, changing (i.e. opening) the system in all three features: namely, alternation, formula and access.</w:t>
      </w:r>
    </w:p>
    <w:p w:rsidR="00B003CD" w:rsidRDefault="00B003CD" w:rsidP="001C0BD3">
      <w:pPr>
        <w:spacing w:after="0" w:line="360" w:lineRule="auto"/>
        <w:jc w:val="both"/>
        <w:rPr>
          <w:rFonts w:ascii="Times New Roman" w:hAnsi="Times New Roman" w:cs="Times New Roman"/>
          <w:sz w:val="24"/>
          <w:szCs w:val="24"/>
          <w:lang w:val="en-US"/>
        </w:rPr>
      </w:pPr>
    </w:p>
    <w:p w:rsidR="00526160" w:rsidRPr="00883DB3" w:rsidRDefault="00526160" w:rsidP="001C0BD3">
      <w:pPr>
        <w:spacing w:after="0" w:line="360" w:lineRule="auto"/>
        <w:jc w:val="both"/>
        <w:rPr>
          <w:rFonts w:ascii="Times New Roman" w:hAnsi="Times New Roman" w:cs="Times New Roman"/>
          <w:i/>
          <w:sz w:val="24"/>
          <w:szCs w:val="24"/>
          <w:lang w:val="en-US"/>
        </w:rPr>
      </w:pPr>
      <w:r w:rsidRPr="00883DB3">
        <w:rPr>
          <w:rFonts w:ascii="Times New Roman" w:hAnsi="Times New Roman" w:cs="Times New Roman"/>
          <w:i/>
          <w:sz w:val="24"/>
          <w:szCs w:val="24"/>
          <w:lang w:val="en-US"/>
        </w:rPr>
        <w:t>Spain</w:t>
      </w:r>
    </w:p>
    <w:p w:rsidR="00161C1B" w:rsidRPr="00161C1B" w:rsidRDefault="00526160" w:rsidP="001C0BD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161C1B" w:rsidRPr="00161C1B">
        <w:rPr>
          <w:rFonts w:ascii="Times New Roman" w:hAnsi="Times New Roman" w:cs="Times New Roman"/>
          <w:sz w:val="24"/>
          <w:szCs w:val="24"/>
          <w:lang w:val="en-US"/>
        </w:rPr>
        <w:t xml:space="preserve">espite the fact that </w:t>
      </w:r>
      <w:proofErr w:type="spellStart"/>
      <w:r w:rsidR="00161C1B" w:rsidRPr="00161C1B">
        <w:rPr>
          <w:rFonts w:ascii="Times New Roman" w:hAnsi="Times New Roman" w:cs="Times New Roman"/>
          <w:i/>
          <w:sz w:val="24"/>
          <w:szCs w:val="24"/>
          <w:lang w:val="en-US"/>
        </w:rPr>
        <w:t>Herri</w:t>
      </w:r>
      <w:proofErr w:type="spellEnd"/>
      <w:r w:rsidR="00161C1B" w:rsidRPr="00161C1B">
        <w:rPr>
          <w:rFonts w:ascii="Times New Roman" w:hAnsi="Times New Roman" w:cs="Times New Roman"/>
          <w:i/>
          <w:sz w:val="24"/>
          <w:szCs w:val="24"/>
          <w:lang w:val="en-US"/>
        </w:rPr>
        <w:t xml:space="preserve"> </w:t>
      </w:r>
      <w:proofErr w:type="spellStart"/>
      <w:r w:rsidR="00161C1B" w:rsidRPr="00161C1B">
        <w:rPr>
          <w:rFonts w:ascii="Times New Roman" w:hAnsi="Times New Roman" w:cs="Times New Roman"/>
          <w:i/>
          <w:sz w:val="24"/>
          <w:szCs w:val="24"/>
          <w:lang w:val="en-US"/>
        </w:rPr>
        <w:t>Batasuna</w:t>
      </w:r>
      <w:proofErr w:type="spellEnd"/>
      <w:r w:rsidR="00161C1B" w:rsidRPr="00161C1B">
        <w:rPr>
          <w:rFonts w:ascii="Times New Roman" w:hAnsi="Times New Roman" w:cs="Times New Roman"/>
          <w:sz w:val="24"/>
          <w:szCs w:val="24"/>
          <w:lang w:val="en-US"/>
        </w:rPr>
        <w:t xml:space="preserve"> (HB) (banned in 2003)</w:t>
      </w:r>
      <w:r w:rsidR="001C0BD3">
        <w:rPr>
          <w:rStyle w:val="FootnoteReference"/>
          <w:rFonts w:ascii="Times New Roman" w:hAnsi="Times New Roman" w:cs="Times New Roman"/>
          <w:sz w:val="24"/>
          <w:szCs w:val="24"/>
          <w:lang w:val="en-US"/>
        </w:rPr>
        <w:footnoteReference w:id="13"/>
      </w:r>
      <w:r w:rsidR="00161C1B" w:rsidRPr="00161C1B">
        <w:rPr>
          <w:rFonts w:ascii="Times New Roman" w:hAnsi="Times New Roman" w:cs="Times New Roman"/>
          <w:sz w:val="24"/>
          <w:szCs w:val="24"/>
          <w:lang w:val="en-US"/>
        </w:rPr>
        <w:t xml:space="preserve"> also </w:t>
      </w:r>
      <w:r>
        <w:rPr>
          <w:rFonts w:ascii="Times New Roman" w:hAnsi="Times New Roman" w:cs="Times New Roman"/>
          <w:sz w:val="24"/>
          <w:szCs w:val="24"/>
          <w:lang w:val="en-US"/>
        </w:rPr>
        <w:t xml:space="preserve">had </w:t>
      </w:r>
      <w:r w:rsidR="00161C1B" w:rsidRPr="00161C1B">
        <w:rPr>
          <w:rFonts w:ascii="Times New Roman" w:hAnsi="Times New Roman" w:cs="Times New Roman"/>
          <w:sz w:val="24"/>
          <w:szCs w:val="24"/>
          <w:lang w:val="en-US"/>
        </w:rPr>
        <w:t>a national vocation</w:t>
      </w:r>
      <w:r>
        <w:rPr>
          <w:rFonts w:ascii="Times New Roman" w:hAnsi="Times New Roman" w:cs="Times New Roman"/>
          <w:sz w:val="24"/>
          <w:szCs w:val="24"/>
          <w:lang w:val="en-US"/>
        </w:rPr>
        <w:t xml:space="preserve"> </w:t>
      </w:r>
      <w:r w:rsidRPr="00161C1B">
        <w:rPr>
          <w:rFonts w:ascii="Times New Roman" w:hAnsi="Times New Roman" w:cs="Times New Roman"/>
          <w:sz w:val="24"/>
          <w:szCs w:val="24"/>
          <w:lang w:val="en-US"/>
        </w:rPr>
        <w:t xml:space="preserve">(Casal </w:t>
      </w:r>
      <w:proofErr w:type="spellStart"/>
      <w:r w:rsidRPr="00161C1B">
        <w:rPr>
          <w:rFonts w:ascii="Times New Roman" w:hAnsi="Times New Roman" w:cs="Times New Roman"/>
          <w:sz w:val="24"/>
          <w:szCs w:val="24"/>
          <w:lang w:val="en-US"/>
        </w:rPr>
        <w:t>Bértoa</w:t>
      </w:r>
      <w:proofErr w:type="spellEnd"/>
      <w:r w:rsidRPr="00161C1B">
        <w:rPr>
          <w:rFonts w:ascii="Times New Roman" w:hAnsi="Times New Roman" w:cs="Times New Roman"/>
          <w:sz w:val="24"/>
          <w:szCs w:val="24"/>
          <w:lang w:val="en-US"/>
        </w:rPr>
        <w:t xml:space="preserve"> et al., 2014b: 16-18)</w:t>
      </w:r>
      <w:r w:rsidR="00161C1B" w:rsidRPr="00161C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161C1B" w:rsidRPr="00161C1B">
        <w:rPr>
          <w:rFonts w:ascii="Times New Roman" w:hAnsi="Times New Roman" w:cs="Times New Roman"/>
          <w:sz w:val="24"/>
          <w:szCs w:val="24"/>
          <w:lang w:val="en-US"/>
        </w:rPr>
        <w:t xml:space="preserve">impact of banning </w:t>
      </w:r>
      <w:r>
        <w:rPr>
          <w:rFonts w:ascii="Times New Roman" w:hAnsi="Times New Roman" w:cs="Times New Roman"/>
          <w:sz w:val="24"/>
          <w:szCs w:val="24"/>
          <w:lang w:val="en-US"/>
        </w:rPr>
        <w:t xml:space="preserve">it </w:t>
      </w:r>
      <w:r w:rsidR="00161C1B" w:rsidRPr="00161C1B">
        <w:rPr>
          <w:rFonts w:ascii="Times New Roman" w:hAnsi="Times New Roman" w:cs="Times New Roman"/>
          <w:sz w:val="24"/>
          <w:szCs w:val="24"/>
          <w:lang w:val="en-US"/>
        </w:rPr>
        <w:t xml:space="preserve">or any of its successors (Bourne, 2012b) on party system development in Spain </w:t>
      </w:r>
      <w:r>
        <w:rPr>
          <w:rFonts w:ascii="Times New Roman" w:hAnsi="Times New Roman" w:cs="Times New Roman"/>
          <w:sz w:val="24"/>
          <w:szCs w:val="24"/>
          <w:lang w:val="en-US"/>
        </w:rPr>
        <w:t xml:space="preserve">will take place </w:t>
      </w:r>
      <w:r w:rsidR="00161C1B" w:rsidRPr="00161C1B">
        <w:rPr>
          <w:rFonts w:ascii="Times New Roman" w:hAnsi="Times New Roman" w:cs="Times New Roman"/>
          <w:sz w:val="24"/>
          <w:szCs w:val="24"/>
          <w:lang w:val="en-US"/>
        </w:rPr>
        <w:t>on the regional level</w:t>
      </w:r>
      <w:r>
        <w:rPr>
          <w:rFonts w:ascii="Times New Roman" w:hAnsi="Times New Roman" w:cs="Times New Roman"/>
          <w:sz w:val="24"/>
          <w:szCs w:val="24"/>
          <w:lang w:val="en-US"/>
        </w:rPr>
        <w:t xml:space="preserve">; </w:t>
      </w:r>
      <w:r w:rsidR="00161C1B" w:rsidRPr="00161C1B">
        <w:rPr>
          <w:rFonts w:ascii="Times New Roman" w:hAnsi="Times New Roman" w:cs="Times New Roman"/>
          <w:sz w:val="24"/>
          <w:szCs w:val="24"/>
          <w:lang w:val="en-US"/>
        </w:rPr>
        <w:t xml:space="preserve">in particular, the Basque Country and Navarre, where the radical leftist nationalists (previously HB, currently </w:t>
      </w:r>
      <w:proofErr w:type="spellStart"/>
      <w:r w:rsidR="00161C1B" w:rsidRPr="00161C1B">
        <w:rPr>
          <w:rFonts w:ascii="Times New Roman" w:hAnsi="Times New Roman" w:cs="Times New Roman"/>
          <w:i/>
          <w:sz w:val="24"/>
          <w:szCs w:val="24"/>
          <w:lang w:val="en-US"/>
        </w:rPr>
        <w:t>Bildu</w:t>
      </w:r>
      <w:proofErr w:type="spellEnd"/>
      <w:r w:rsidR="00925BC1">
        <w:rPr>
          <w:rFonts w:ascii="Times New Roman" w:hAnsi="Times New Roman" w:cs="Times New Roman"/>
          <w:sz w:val="24"/>
          <w:szCs w:val="24"/>
          <w:lang w:val="en-US"/>
        </w:rPr>
        <w:t>) have traditionally had</w:t>
      </w:r>
      <w:r w:rsidR="00161C1B" w:rsidRPr="00161C1B">
        <w:rPr>
          <w:rFonts w:ascii="Times New Roman" w:hAnsi="Times New Roman" w:cs="Times New Roman"/>
          <w:sz w:val="24"/>
          <w:szCs w:val="24"/>
          <w:lang w:val="en-US"/>
        </w:rPr>
        <w:t xml:space="preserve"> their strongholds.</w:t>
      </w:r>
      <w:r w:rsidR="00161C1B" w:rsidRPr="00161C1B">
        <w:rPr>
          <w:rStyle w:val="FootnoteReference"/>
          <w:rFonts w:ascii="Times New Roman" w:hAnsi="Times New Roman" w:cs="Times New Roman"/>
          <w:sz w:val="24"/>
          <w:szCs w:val="24"/>
          <w:lang w:val="en-US"/>
        </w:rPr>
        <w:footnoteReference w:id="14"/>
      </w:r>
    </w:p>
    <w:p w:rsidR="00EA2DE1" w:rsidRDefault="00EA2DE1" w:rsidP="00161C1B">
      <w:pPr>
        <w:spacing w:after="0" w:line="360" w:lineRule="auto"/>
        <w:jc w:val="both"/>
        <w:rPr>
          <w:rFonts w:ascii="Times New Roman" w:hAnsi="Times New Roman" w:cs="Times New Roman"/>
          <w:b/>
          <w:sz w:val="24"/>
          <w:szCs w:val="24"/>
          <w:lang w:val="en-US"/>
        </w:rPr>
      </w:pPr>
    </w:p>
    <w:p w:rsidR="00EA2DE1" w:rsidRDefault="00EA2DE1" w:rsidP="001C0BD3">
      <w:pPr>
        <w:spacing w:after="0" w:line="240" w:lineRule="auto"/>
        <w:jc w:val="center"/>
        <w:rPr>
          <w:rFonts w:ascii="Times New Roman" w:hAnsi="Times New Roman" w:cs="Times New Roman"/>
          <w:b/>
          <w:sz w:val="24"/>
          <w:szCs w:val="24"/>
          <w:lang w:val="en-US"/>
        </w:rPr>
      </w:pPr>
      <w:proofErr w:type="gramStart"/>
      <w:r w:rsidRPr="00883DB3">
        <w:rPr>
          <w:rFonts w:ascii="Times New Roman" w:hAnsi="Times New Roman" w:cs="Times New Roman"/>
          <w:b/>
          <w:sz w:val="24"/>
          <w:szCs w:val="24"/>
          <w:lang w:val="en-US"/>
        </w:rPr>
        <w:t xml:space="preserve">Table </w:t>
      </w:r>
      <w:r w:rsidR="001C0BD3">
        <w:rPr>
          <w:rFonts w:ascii="Times New Roman" w:hAnsi="Times New Roman" w:cs="Times New Roman"/>
          <w:b/>
          <w:sz w:val="24"/>
          <w:szCs w:val="24"/>
          <w:lang w:val="en-US"/>
        </w:rPr>
        <w:t>6</w:t>
      </w:r>
      <w:r w:rsidRPr="001C0BD3">
        <w:rPr>
          <w:rFonts w:ascii="Times New Roman" w:hAnsi="Times New Roman" w:cs="Times New Roman"/>
          <w:b/>
          <w:sz w:val="24"/>
          <w:szCs w:val="24"/>
          <w:lang w:val="en-US"/>
        </w:rPr>
        <w:t>.</w:t>
      </w:r>
      <w:proofErr w:type="gramEnd"/>
      <w:r w:rsidRPr="00883DB3">
        <w:rPr>
          <w:rFonts w:ascii="Times New Roman" w:hAnsi="Times New Roman" w:cs="Times New Roman"/>
          <w:b/>
          <w:sz w:val="24"/>
          <w:szCs w:val="24"/>
          <w:lang w:val="en-US"/>
        </w:rPr>
        <w:t xml:space="preserve"> Party system indicators in the Basque Country (1980-2012)</w:t>
      </w:r>
    </w:p>
    <w:p w:rsidR="00526160" w:rsidRPr="00883DB3" w:rsidRDefault="00526160" w:rsidP="00883DB3">
      <w:pPr>
        <w:spacing w:after="0" w:line="240" w:lineRule="auto"/>
        <w:jc w:val="center"/>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049"/>
        <w:gridCol w:w="749"/>
        <w:gridCol w:w="738"/>
        <w:gridCol w:w="749"/>
        <w:gridCol w:w="749"/>
        <w:gridCol w:w="963"/>
        <w:gridCol w:w="749"/>
        <w:gridCol w:w="749"/>
        <w:gridCol w:w="749"/>
        <w:gridCol w:w="738"/>
        <w:gridCol w:w="738"/>
      </w:tblGrid>
      <w:tr w:rsidR="00EA2DE1" w:rsidRPr="00161C1B" w:rsidTr="00895231">
        <w:tc>
          <w:tcPr>
            <w:tcW w:w="1049" w:type="dxa"/>
          </w:tcPr>
          <w:p w:rsidR="00EA2DE1" w:rsidRPr="00161C1B" w:rsidRDefault="00EA2DE1" w:rsidP="00895231">
            <w:pPr>
              <w:jc w:val="center"/>
              <w:rPr>
                <w:sz w:val="22"/>
                <w:szCs w:val="22"/>
                <w:lang w:val="en-US"/>
              </w:rPr>
            </w:pPr>
          </w:p>
        </w:tc>
        <w:tc>
          <w:tcPr>
            <w:tcW w:w="749" w:type="dxa"/>
          </w:tcPr>
          <w:p w:rsidR="00EA2DE1" w:rsidRPr="00161C1B" w:rsidRDefault="00EA2DE1" w:rsidP="00895231">
            <w:pPr>
              <w:jc w:val="center"/>
              <w:rPr>
                <w:b/>
                <w:sz w:val="22"/>
                <w:szCs w:val="22"/>
                <w:lang w:val="en-US"/>
              </w:rPr>
            </w:pPr>
            <w:r w:rsidRPr="00161C1B">
              <w:rPr>
                <w:b/>
                <w:sz w:val="22"/>
                <w:szCs w:val="22"/>
                <w:lang w:val="en-US"/>
              </w:rPr>
              <w:t>1980</w:t>
            </w:r>
          </w:p>
        </w:tc>
        <w:tc>
          <w:tcPr>
            <w:tcW w:w="738" w:type="dxa"/>
          </w:tcPr>
          <w:p w:rsidR="00EA2DE1" w:rsidRPr="00161C1B" w:rsidRDefault="00EA2DE1" w:rsidP="00895231">
            <w:pPr>
              <w:jc w:val="center"/>
              <w:rPr>
                <w:b/>
                <w:sz w:val="22"/>
                <w:szCs w:val="22"/>
                <w:lang w:val="en-US"/>
              </w:rPr>
            </w:pPr>
            <w:r w:rsidRPr="00161C1B">
              <w:rPr>
                <w:b/>
                <w:sz w:val="22"/>
                <w:szCs w:val="22"/>
                <w:lang w:val="en-US"/>
              </w:rPr>
              <w:t>1984</w:t>
            </w:r>
          </w:p>
        </w:tc>
        <w:tc>
          <w:tcPr>
            <w:tcW w:w="749" w:type="dxa"/>
          </w:tcPr>
          <w:p w:rsidR="00EA2DE1" w:rsidRPr="00161C1B" w:rsidRDefault="00EA2DE1" w:rsidP="00895231">
            <w:pPr>
              <w:jc w:val="center"/>
              <w:rPr>
                <w:b/>
                <w:sz w:val="22"/>
                <w:szCs w:val="22"/>
                <w:lang w:val="en-US"/>
              </w:rPr>
            </w:pPr>
            <w:r w:rsidRPr="00161C1B">
              <w:rPr>
                <w:b/>
                <w:sz w:val="22"/>
                <w:szCs w:val="22"/>
                <w:lang w:val="en-US"/>
              </w:rPr>
              <w:t>1986</w:t>
            </w:r>
          </w:p>
        </w:tc>
        <w:tc>
          <w:tcPr>
            <w:tcW w:w="749" w:type="dxa"/>
          </w:tcPr>
          <w:p w:rsidR="00EA2DE1" w:rsidRPr="00161C1B" w:rsidRDefault="00EA2DE1" w:rsidP="00895231">
            <w:pPr>
              <w:jc w:val="center"/>
              <w:rPr>
                <w:b/>
                <w:sz w:val="22"/>
                <w:szCs w:val="22"/>
                <w:lang w:val="en-US"/>
              </w:rPr>
            </w:pPr>
            <w:r w:rsidRPr="00161C1B">
              <w:rPr>
                <w:b/>
                <w:sz w:val="22"/>
                <w:szCs w:val="22"/>
                <w:lang w:val="en-US"/>
              </w:rPr>
              <w:t>1990</w:t>
            </w:r>
          </w:p>
        </w:tc>
        <w:tc>
          <w:tcPr>
            <w:tcW w:w="963" w:type="dxa"/>
          </w:tcPr>
          <w:p w:rsidR="00EA2DE1" w:rsidRPr="00161C1B" w:rsidRDefault="00EA2DE1" w:rsidP="00895231">
            <w:pPr>
              <w:jc w:val="center"/>
              <w:rPr>
                <w:b/>
                <w:sz w:val="22"/>
                <w:szCs w:val="22"/>
                <w:lang w:val="en-US"/>
              </w:rPr>
            </w:pPr>
            <w:r w:rsidRPr="00161C1B">
              <w:rPr>
                <w:b/>
                <w:sz w:val="22"/>
                <w:szCs w:val="22"/>
                <w:lang w:val="en-US"/>
              </w:rPr>
              <w:t>1994</w:t>
            </w:r>
          </w:p>
        </w:tc>
        <w:tc>
          <w:tcPr>
            <w:tcW w:w="749" w:type="dxa"/>
          </w:tcPr>
          <w:p w:rsidR="00EA2DE1" w:rsidRPr="00161C1B" w:rsidRDefault="00EA2DE1" w:rsidP="00895231">
            <w:pPr>
              <w:jc w:val="center"/>
              <w:rPr>
                <w:b/>
                <w:sz w:val="22"/>
                <w:szCs w:val="22"/>
                <w:lang w:val="en-US"/>
              </w:rPr>
            </w:pPr>
            <w:r w:rsidRPr="00161C1B">
              <w:rPr>
                <w:b/>
                <w:sz w:val="22"/>
                <w:szCs w:val="22"/>
                <w:lang w:val="en-US"/>
              </w:rPr>
              <w:t>1998</w:t>
            </w:r>
          </w:p>
        </w:tc>
        <w:tc>
          <w:tcPr>
            <w:tcW w:w="749" w:type="dxa"/>
          </w:tcPr>
          <w:p w:rsidR="00EA2DE1" w:rsidRPr="00161C1B" w:rsidRDefault="00EA2DE1" w:rsidP="00895231">
            <w:pPr>
              <w:jc w:val="center"/>
              <w:rPr>
                <w:b/>
                <w:sz w:val="22"/>
                <w:szCs w:val="22"/>
                <w:lang w:val="en-US"/>
              </w:rPr>
            </w:pPr>
            <w:r w:rsidRPr="00161C1B">
              <w:rPr>
                <w:b/>
                <w:sz w:val="22"/>
                <w:szCs w:val="22"/>
                <w:lang w:val="en-US"/>
              </w:rPr>
              <w:t>2001</w:t>
            </w:r>
          </w:p>
        </w:tc>
        <w:tc>
          <w:tcPr>
            <w:tcW w:w="749" w:type="dxa"/>
          </w:tcPr>
          <w:p w:rsidR="00EA2DE1" w:rsidRPr="00161C1B" w:rsidRDefault="00EA2DE1" w:rsidP="00895231">
            <w:pPr>
              <w:jc w:val="center"/>
              <w:rPr>
                <w:b/>
                <w:sz w:val="22"/>
                <w:szCs w:val="22"/>
                <w:lang w:val="en-US"/>
              </w:rPr>
            </w:pPr>
            <w:r w:rsidRPr="00161C1B">
              <w:rPr>
                <w:b/>
                <w:sz w:val="22"/>
                <w:szCs w:val="22"/>
                <w:lang w:val="en-US"/>
              </w:rPr>
              <w:t>2005</w:t>
            </w:r>
          </w:p>
        </w:tc>
        <w:tc>
          <w:tcPr>
            <w:tcW w:w="738" w:type="dxa"/>
          </w:tcPr>
          <w:p w:rsidR="00EA2DE1" w:rsidRPr="00161C1B" w:rsidRDefault="00EA2DE1" w:rsidP="00895231">
            <w:pPr>
              <w:jc w:val="center"/>
              <w:rPr>
                <w:b/>
                <w:sz w:val="22"/>
                <w:szCs w:val="22"/>
                <w:lang w:val="en-US"/>
              </w:rPr>
            </w:pPr>
            <w:r w:rsidRPr="00161C1B">
              <w:rPr>
                <w:b/>
                <w:sz w:val="22"/>
                <w:szCs w:val="22"/>
                <w:lang w:val="en-US"/>
              </w:rPr>
              <w:t>2009</w:t>
            </w:r>
          </w:p>
        </w:tc>
        <w:tc>
          <w:tcPr>
            <w:tcW w:w="738" w:type="dxa"/>
          </w:tcPr>
          <w:p w:rsidR="00EA2DE1" w:rsidRPr="00161C1B" w:rsidRDefault="00EA2DE1" w:rsidP="00895231">
            <w:pPr>
              <w:jc w:val="center"/>
              <w:rPr>
                <w:b/>
                <w:sz w:val="22"/>
                <w:szCs w:val="22"/>
                <w:lang w:val="en-US"/>
              </w:rPr>
            </w:pPr>
            <w:r w:rsidRPr="00161C1B">
              <w:rPr>
                <w:b/>
                <w:sz w:val="22"/>
                <w:szCs w:val="22"/>
                <w:lang w:val="en-US"/>
              </w:rPr>
              <w:t>2012</w:t>
            </w:r>
          </w:p>
        </w:tc>
      </w:tr>
      <w:tr w:rsidR="00EA2DE1" w:rsidRPr="00161C1B" w:rsidTr="00895231">
        <w:tc>
          <w:tcPr>
            <w:tcW w:w="1049" w:type="dxa"/>
          </w:tcPr>
          <w:p w:rsidR="00EA2DE1" w:rsidRPr="00161C1B" w:rsidRDefault="00EA2DE1" w:rsidP="00895231">
            <w:pPr>
              <w:jc w:val="center"/>
              <w:rPr>
                <w:b/>
                <w:sz w:val="22"/>
                <w:szCs w:val="22"/>
                <w:lang w:val="en-US"/>
              </w:rPr>
            </w:pPr>
            <w:r w:rsidRPr="00161C1B">
              <w:rPr>
                <w:b/>
                <w:sz w:val="22"/>
                <w:szCs w:val="22"/>
                <w:lang w:val="en-US"/>
              </w:rPr>
              <w:t>TEV</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n/a</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13.4</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7.7</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12.1</w:t>
            </w:r>
          </w:p>
        </w:tc>
        <w:tc>
          <w:tcPr>
            <w:tcW w:w="963" w:type="dxa"/>
            <w:vAlign w:val="bottom"/>
          </w:tcPr>
          <w:p w:rsidR="00EA2DE1" w:rsidRPr="00161C1B" w:rsidRDefault="00EA2DE1" w:rsidP="00895231">
            <w:pPr>
              <w:jc w:val="center"/>
              <w:rPr>
                <w:color w:val="000000"/>
                <w:sz w:val="22"/>
                <w:szCs w:val="22"/>
              </w:rPr>
            </w:pPr>
            <w:r w:rsidRPr="00161C1B">
              <w:rPr>
                <w:color w:val="000000"/>
                <w:sz w:val="22"/>
                <w:szCs w:val="22"/>
              </w:rPr>
              <w:t>16.3</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8.4</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8.3</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10.2</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18</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18.3</w:t>
            </w:r>
          </w:p>
        </w:tc>
      </w:tr>
      <w:tr w:rsidR="00EA2DE1" w:rsidRPr="00161C1B" w:rsidTr="00895231">
        <w:tc>
          <w:tcPr>
            <w:tcW w:w="1049" w:type="dxa"/>
          </w:tcPr>
          <w:p w:rsidR="00EA2DE1" w:rsidRPr="00161C1B" w:rsidRDefault="00EA2DE1" w:rsidP="00895231">
            <w:pPr>
              <w:jc w:val="center"/>
              <w:rPr>
                <w:b/>
                <w:sz w:val="22"/>
                <w:szCs w:val="22"/>
                <w:lang w:val="en-US"/>
              </w:rPr>
            </w:pPr>
            <w:r w:rsidRPr="00161C1B">
              <w:rPr>
                <w:b/>
                <w:sz w:val="22"/>
                <w:szCs w:val="22"/>
                <w:lang w:val="en-US"/>
              </w:rPr>
              <w:t>ENEP</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4.7</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3.7</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5.7</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5.5</w:t>
            </w:r>
          </w:p>
        </w:tc>
        <w:tc>
          <w:tcPr>
            <w:tcW w:w="963" w:type="dxa"/>
            <w:vAlign w:val="bottom"/>
          </w:tcPr>
          <w:p w:rsidR="00EA2DE1" w:rsidRPr="00161C1B" w:rsidRDefault="00EA2DE1" w:rsidP="00895231">
            <w:pPr>
              <w:jc w:val="center"/>
              <w:rPr>
                <w:color w:val="000000"/>
                <w:sz w:val="22"/>
                <w:szCs w:val="22"/>
              </w:rPr>
            </w:pPr>
            <w:r w:rsidRPr="00161C1B">
              <w:rPr>
                <w:color w:val="000000"/>
                <w:sz w:val="22"/>
                <w:szCs w:val="22"/>
              </w:rPr>
              <w:t>5.4</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5.2</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3.6</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4.0</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3.7</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4.3</w:t>
            </w:r>
          </w:p>
        </w:tc>
      </w:tr>
      <w:tr w:rsidR="00EA2DE1" w:rsidRPr="00161C1B" w:rsidTr="00895231">
        <w:tc>
          <w:tcPr>
            <w:tcW w:w="1049" w:type="dxa"/>
          </w:tcPr>
          <w:p w:rsidR="00EA2DE1" w:rsidRPr="00161C1B" w:rsidRDefault="00EA2DE1" w:rsidP="00895231">
            <w:pPr>
              <w:jc w:val="center"/>
              <w:rPr>
                <w:b/>
                <w:sz w:val="22"/>
                <w:szCs w:val="22"/>
                <w:lang w:val="en-US"/>
              </w:rPr>
            </w:pPr>
            <w:r w:rsidRPr="00161C1B">
              <w:rPr>
                <w:b/>
                <w:sz w:val="22"/>
                <w:szCs w:val="22"/>
                <w:lang w:val="en-US"/>
              </w:rPr>
              <w:t>ENPP</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4.0</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3.5</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5.2</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5.3</w:t>
            </w:r>
          </w:p>
        </w:tc>
        <w:tc>
          <w:tcPr>
            <w:tcW w:w="963" w:type="dxa"/>
            <w:vAlign w:val="bottom"/>
          </w:tcPr>
          <w:p w:rsidR="00EA2DE1" w:rsidRPr="00161C1B" w:rsidRDefault="00EA2DE1" w:rsidP="00895231">
            <w:pPr>
              <w:jc w:val="center"/>
              <w:rPr>
                <w:color w:val="000000"/>
                <w:sz w:val="22"/>
                <w:szCs w:val="22"/>
              </w:rPr>
            </w:pPr>
            <w:r w:rsidRPr="00161C1B">
              <w:rPr>
                <w:color w:val="000000"/>
                <w:sz w:val="22"/>
                <w:szCs w:val="22"/>
              </w:rPr>
              <w:t>5.7</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5.0</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3.4</w:t>
            </w:r>
          </w:p>
        </w:tc>
        <w:tc>
          <w:tcPr>
            <w:tcW w:w="749" w:type="dxa"/>
            <w:vAlign w:val="bottom"/>
          </w:tcPr>
          <w:p w:rsidR="00EA2DE1" w:rsidRPr="00161C1B" w:rsidRDefault="00EA2DE1" w:rsidP="00895231">
            <w:pPr>
              <w:jc w:val="center"/>
              <w:rPr>
                <w:color w:val="000000"/>
                <w:sz w:val="22"/>
                <w:szCs w:val="22"/>
              </w:rPr>
            </w:pPr>
            <w:r w:rsidRPr="00161C1B">
              <w:rPr>
                <w:color w:val="000000"/>
                <w:sz w:val="22"/>
                <w:szCs w:val="22"/>
              </w:rPr>
              <w:t>3.8</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3.3</w:t>
            </w:r>
          </w:p>
        </w:tc>
        <w:tc>
          <w:tcPr>
            <w:tcW w:w="738" w:type="dxa"/>
            <w:vAlign w:val="bottom"/>
          </w:tcPr>
          <w:p w:rsidR="00EA2DE1" w:rsidRPr="00161C1B" w:rsidRDefault="00EA2DE1" w:rsidP="00895231">
            <w:pPr>
              <w:jc w:val="center"/>
              <w:rPr>
                <w:color w:val="000000"/>
                <w:sz w:val="22"/>
                <w:szCs w:val="22"/>
              </w:rPr>
            </w:pPr>
            <w:r w:rsidRPr="00161C1B">
              <w:rPr>
                <w:color w:val="000000"/>
                <w:sz w:val="22"/>
                <w:szCs w:val="22"/>
              </w:rPr>
              <w:t>3.7</w:t>
            </w:r>
          </w:p>
        </w:tc>
      </w:tr>
      <w:tr w:rsidR="00EA2DE1" w:rsidRPr="00161C1B" w:rsidTr="00895231">
        <w:tc>
          <w:tcPr>
            <w:tcW w:w="1049" w:type="dxa"/>
          </w:tcPr>
          <w:p w:rsidR="00EA2DE1" w:rsidRPr="00161C1B" w:rsidRDefault="00EA2DE1" w:rsidP="00895231">
            <w:pPr>
              <w:jc w:val="center"/>
              <w:rPr>
                <w:b/>
                <w:sz w:val="22"/>
                <w:szCs w:val="22"/>
                <w:lang w:val="en-US"/>
              </w:rPr>
            </w:pPr>
            <w:r w:rsidRPr="00161C1B">
              <w:rPr>
                <w:b/>
                <w:sz w:val="22"/>
                <w:szCs w:val="22"/>
                <w:lang w:val="en-US"/>
              </w:rPr>
              <w:t>Spoiled ballots</w:t>
            </w:r>
          </w:p>
        </w:tc>
        <w:tc>
          <w:tcPr>
            <w:tcW w:w="749" w:type="dxa"/>
          </w:tcPr>
          <w:p w:rsidR="00EA2DE1" w:rsidRPr="00161C1B" w:rsidRDefault="00EA2DE1" w:rsidP="00895231">
            <w:pPr>
              <w:jc w:val="center"/>
              <w:rPr>
                <w:sz w:val="22"/>
                <w:szCs w:val="22"/>
                <w:lang w:val="en-US"/>
              </w:rPr>
            </w:pPr>
            <w:r w:rsidRPr="00161C1B">
              <w:rPr>
                <w:sz w:val="22"/>
                <w:szCs w:val="22"/>
                <w:lang w:val="en-US"/>
              </w:rPr>
              <w:t>n/a</w:t>
            </w:r>
          </w:p>
        </w:tc>
        <w:tc>
          <w:tcPr>
            <w:tcW w:w="738" w:type="dxa"/>
          </w:tcPr>
          <w:p w:rsidR="00EA2DE1" w:rsidRPr="00161C1B" w:rsidRDefault="00EA2DE1" w:rsidP="00895231">
            <w:pPr>
              <w:jc w:val="center"/>
              <w:rPr>
                <w:sz w:val="22"/>
                <w:szCs w:val="22"/>
                <w:lang w:val="en-US"/>
              </w:rPr>
            </w:pPr>
            <w:r w:rsidRPr="00161C1B">
              <w:rPr>
                <w:sz w:val="22"/>
                <w:szCs w:val="22"/>
                <w:lang w:val="en-US"/>
              </w:rPr>
              <w:t>n/a</w:t>
            </w:r>
          </w:p>
        </w:tc>
        <w:tc>
          <w:tcPr>
            <w:tcW w:w="749" w:type="dxa"/>
          </w:tcPr>
          <w:p w:rsidR="00EA2DE1" w:rsidRPr="00161C1B" w:rsidRDefault="00EA2DE1" w:rsidP="00895231">
            <w:pPr>
              <w:jc w:val="center"/>
              <w:rPr>
                <w:sz w:val="22"/>
                <w:szCs w:val="22"/>
                <w:lang w:val="en-US"/>
              </w:rPr>
            </w:pPr>
            <w:r w:rsidRPr="00161C1B">
              <w:rPr>
                <w:sz w:val="22"/>
                <w:szCs w:val="22"/>
                <w:lang w:val="en-US"/>
              </w:rPr>
              <w:t>0.6</w:t>
            </w:r>
          </w:p>
        </w:tc>
        <w:tc>
          <w:tcPr>
            <w:tcW w:w="749" w:type="dxa"/>
          </w:tcPr>
          <w:p w:rsidR="00EA2DE1" w:rsidRPr="00161C1B" w:rsidRDefault="00EA2DE1" w:rsidP="00895231">
            <w:pPr>
              <w:jc w:val="center"/>
              <w:rPr>
                <w:sz w:val="22"/>
                <w:szCs w:val="22"/>
                <w:lang w:val="en-US"/>
              </w:rPr>
            </w:pPr>
            <w:r w:rsidRPr="00161C1B">
              <w:rPr>
                <w:sz w:val="22"/>
                <w:szCs w:val="22"/>
                <w:lang w:val="en-US"/>
              </w:rPr>
              <w:t>0.5</w:t>
            </w:r>
          </w:p>
        </w:tc>
        <w:tc>
          <w:tcPr>
            <w:tcW w:w="963" w:type="dxa"/>
          </w:tcPr>
          <w:p w:rsidR="00EA2DE1" w:rsidRPr="00161C1B" w:rsidRDefault="00EA2DE1" w:rsidP="00895231">
            <w:pPr>
              <w:jc w:val="center"/>
              <w:rPr>
                <w:sz w:val="22"/>
                <w:szCs w:val="22"/>
                <w:lang w:val="en-US"/>
              </w:rPr>
            </w:pPr>
            <w:r w:rsidRPr="00161C1B">
              <w:rPr>
                <w:sz w:val="22"/>
                <w:szCs w:val="22"/>
                <w:lang w:val="en-US"/>
              </w:rPr>
              <w:t>0.6</w:t>
            </w:r>
          </w:p>
        </w:tc>
        <w:tc>
          <w:tcPr>
            <w:tcW w:w="749" w:type="dxa"/>
          </w:tcPr>
          <w:p w:rsidR="00EA2DE1" w:rsidRPr="00161C1B" w:rsidRDefault="00EA2DE1" w:rsidP="00895231">
            <w:pPr>
              <w:jc w:val="center"/>
              <w:rPr>
                <w:sz w:val="22"/>
                <w:szCs w:val="22"/>
                <w:lang w:val="en-US"/>
              </w:rPr>
            </w:pPr>
            <w:r w:rsidRPr="00161C1B">
              <w:rPr>
                <w:sz w:val="22"/>
                <w:szCs w:val="22"/>
                <w:lang w:val="en-US"/>
              </w:rPr>
              <w:t>0.5</w:t>
            </w:r>
          </w:p>
        </w:tc>
        <w:tc>
          <w:tcPr>
            <w:tcW w:w="749" w:type="dxa"/>
          </w:tcPr>
          <w:p w:rsidR="00EA2DE1" w:rsidRPr="00161C1B" w:rsidRDefault="00EA2DE1" w:rsidP="00895231">
            <w:pPr>
              <w:jc w:val="center"/>
              <w:rPr>
                <w:sz w:val="22"/>
                <w:szCs w:val="22"/>
                <w:lang w:val="en-US"/>
              </w:rPr>
            </w:pPr>
            <w:r w:rsidRPr="00161C1B">
              <w:rPr>
                <w:sz w:val="22"/>
                <w:szCs w:val="22"/>
                <w:lang w:val="en-US"/>
              </w:rPr>
              <w:t>0.4</w:t>
            </w:r>
          </w:p>
        </w:tc>
        <w:tc>
          <w:tcPr>
            <w:tcW w:w="749" w:type="dxa"/>
          </w:tcPr>
          <w:p w:rsidR="00EA2DE1" w:rsidRPr="00161C1B" w:rsidRDefault="00EA2DE1" w:rsidP="00895231">
            <w:pPr>
              <w:jc w:val="center"/>
              <w:rPr>
                <w:sz w:val="22"/>
                <w:szCs w:val="22"/>
                <w:lang w:val="en-US"/>
              </w:rPr>
            </w:pPr>
            <w:r w:rsidRPr="00161C1B">
              <w:rPr>
                <w:sz w:val="22"/>
                <w:szCs w:val="22"/>
                <w:lang w:val="en-US"/>
              </w:rPr>
              <w:t>0.3</w:t>
            </w:r>
          </w:p>
        </w:tc>
        <w:tc>
          <w:tcPr>
            <w:tcW w:w="738" w:type="dxa"/>
          </w:tcPr>
          <w:p w:rsidR="00EA2DE1" w:rsidRPr="00161C1B" w:rsidRDefault="00EA2DE1" w:rsidP="00895231">
            <w:pPr>
              <w:jc w:val="center"/>
              <w:rPr>
                <w:sz w:val="22"/>
                <w:szCs w:val="22"/>
                <w:lang w:val="en-US"/>
              </w:rPr>
            </w:pPr>
            <w:r w:rsidRPr="00161C1B">
              <w:rPr>
                <w:sz w:val="22"/>
                <w:szCs w:val="22"/>
                <w:lang w:val="en-US"/>
              </w:rPr>
              <w:t>8.8</w:t>
            </w:r>
          </w:p>
        </w:tc>
        <w:tc>
          <w:tcPr>
            <w:tcW w:w="738" w:type="dxa"/>
          </w:tcPr>
          <w:p w:rsidR="00EA2DE1" w:rsidRPr="00161C1B" w:rsidRDefault="00EA2DE1" w:rsidP="00895231">
            <w:pPr>
              <w:jc w:val="center"/>
              <w:rPr>
                <w:sz w:val="22"/>
                <w:szCs w:val="22"/>
                <w:lang w:val="en-US"/>
              </w:rPr>
            </w:pPr>
            <w:r w:rsidRPr="00161C1B">
              <w:rPr>
                <w:sz w:val="22"/>
                <w:szCs w:val="22"/>
                <w:lang w:val="en-US"/>
              </w:rPr>
              <w:t>0.8</w:t>
            </w:r>
          </w:p>
        </w:tc>
      </w:tr>
      <w:tr w:rsidR="00EA2DE1" w:rsidRPr="00161C1B" w:rsidTr="00895231">
        <w:tc>
          <w:tcPr>
            <w:tcW w:w="1049" w:type="dxa"/>
            <w:vMerge w:val="restart"/>
          </w:tcPr>
          <w:p w:rsidR="00EA2DE1" w:rsidRPr="00161C1B" w:rsidRDefault="00EA2DE1" w:rsidP="00895231">
            <w:pPr>
              <w:jc w:val="center"/>
              <w:rPr>
                <w:b/>
                <w:sz w:val="22"/>
                <w:szCs w:val="22"/>
                <w:lang w:val="en-US"/>
              </w:rPr>
            </w:pPr>
          </w:p>
          <w:p w:rsidR="00EA2DE1" w:rsidRPr="00161C1B" w:rsidRDefault="00EA2DE1" w:rsidP="00895231">
            <w:pPr>
              <w:jc w:val="center"/>
              <w:rPr>
                <w:b/>
                <w:sz w:val="22"/>
                <w:szCs w:val="22"/>
                <w:lang w:val="en-US"/>
              </w:rPr>
            </w:pPr>
          </w:p>
          <w:p w:rsidR="00EA2DE1" w:rsidRPr="00161C1B" w:rsidRDefault="00EA2DE1" w:rsidP="00895231">
            <w:pPr>
              <w:jc w:val="center"/>
              <w:rPr>
                <w:b/>
                <w:sz w:val="22"/>
                <w:szCs w:val="22"/>
                <w:lang w:val="en-US"/>
              </w:rPr>
            </w:pPr>
            <w:r w:rsidRPr="00161C1B">
              <w:rPr>
                <w:b/>
                <w:sz w:val="22"/>
                <w:szCs w:val="22"/>
                <w:lang w:val="en-US"/>
              </w:rPr>
              <w:t>Cabinets</w:t>
            </w:r>
          </w:p>
        </w:tc>
        <w:tc>
          <w:tcPr>
            <w:tcW w:w="749" w:type="dxa"/>
          </w:tcPr>
          <w:p w:rsidR="00EA2DE1" w:rsidRPr="00161C1B" w:rsidRDefault="00EA2DE1" w:rsidP="00895231">
            <w:pPr>
              <w:jc w:val="center"/>
              <w:rPr>
                <w:sz w:val="22"/>
                <w:szCs w:val="22"/>
                <w:lang w:val="en-US"/>
              </w:rPr>
            </w:pPr>
            <w:r w:rsidRPr="00161C1B">
              <w:rPr>
                <w:sz w:val="22"/>
                <w:szCs w:val="22"/>
                <w:lang w:val="en-US"/>
              </w:rPr>
              <w:t>PNV-PSE</w:t>
            </w:r>
          </w:p>
        </w:tc>
        <w:tc>
          <w:tcPr>
            <w:tcW w:w="738" w:type="dxa"/>
          </w:tcPr>
          <w:p w:rsidR="00EA2DE1" w:rsidRPr="00161C1B" w:rsidRDefault="00EA2DE1" w:rsidP="00895231">
            <w:pPr>
              <w:jc w:val="center"/>
              <w:rPr>
                <w:sz w:val="22"/>
                <w:szCs w:val="22"/>
                <w:lang w:val="en-US"/>
              </w:rPr>
            </w:pPr>
            <w:r w:rsidRPr="00161C1B">
              <w:rPr>
                <w:sz w:val="22"/>
                <w:szCs w:val="22"/>
                <w:lang w:val="en-US"/>
              </w:rPr>
              <w:t>PNV</w:t>
            </w:r>
          </w:p>
        </w:tc>
        <w:tc>
          <w:tcPr>
            <w:tcW w:w="749" w:type="dxa"/>
          </w:tcPr>
          <w:p w:rsidR="00EA2DE1" w:rsidRPr="00161C1B" w:rsidRDefault="00EA2DE1" w:rsidP="00895231">
            <w:pPr>
              <w:jc w:val="center"/>
              <w:rPr>
                <w:sz w:val="22"/>
                <w:szCs w:val="22"/>
                <w:lang w:val="en-US"/>
              </w:rPr>
            </w:pPr>
            <w:r w:rsidRPr="00161C1B">
              <w:rPr>
                <w:sz w:val="22"/>
                <w:szCs w:val="22"/>
                <w:lang w:val="en-US"/>
              </w:rPr>
              <w:t>PNV-PSE</w:t>
            </w:r>
          </w:p>
        </w:tc>
        <w:tc>
          <w:tcPr>
            <w:tcW w:w="749" w:type="dxa"/>
          </w:tcPr>
          <w:p w:rsidR="00EA2DE1" w:rsidRPr="00161C1B" w:rsidRDefault="00EA2DE1" w:rsidP="00895231">
            <w:pPr>
              <w:jc w:val="center"/>
              <w:rPr>
                <w:sz w:val="22"/>
                <w:szCs w:val="22"/>
                <w:lang w:val="en-US"/>
              </w:rPr>
            </w:pPr>
            <w:r w:rsidRPr="00161C1B">
              <w:rPr>
                <w:sz w:val="22"/>
                <w:szCs w:val="22"/>
                <w:lang w:val="en-US"/>
              </w:rPr>
              <w:t>PNV-EA-EE</w:t>
            </w:r>
          </w:p>
        </w:tc>
        <w:tc>
          <w:tcPr>
            <w:tcW w:w="963" w:type="dxa"/>
          </w:tcPr>
          <w:p w:rsidR="00EA2DE1" w:rsidRPr="00161C1B" w:rsidRDefault="00EA2DE1" w:rsidP="00895231">
            <w:pPr>
              <w:jc w:val="center"/>
              <w:rPr>
                <w:sz w:val="22"/>
                <w:szCs w:val="22"/>
                <w:lang w:val="en-US"/>
              </w:rPr>
            </w:pPr>
            <w:r w:rsidRPr="00161C1B">
              <w:rPr>
                <w:sz w:val="22"/>
                <w:szCs w:val="22"/>
                <w:lang w:val="en-US"/>
              </w:rPr>
              <w:t>PNV-EA-PSE</w:t>
            </w:r>
          </w:p>
        </w:tc>
        <w:tc>
          <w:tcPr>
            <w:tcW w:w="749" w:type="dxa"/>
          </w:tcPr>
          <w:p w:rsidR="00EA2DE1" w:rsidRPr="00161C1B" w:rsidRDefault="00EA2DE1" w:rsidP="00895231">
            <w:pPr>
              <w:jc w:val="center"/>
              <w:rPr>
                <w:sz w:val="22"/>
                <w:szCs w:val="22"/>
                <w:lang w:val="en-US"/>
              </w:rPr>
            </w:pPr>
            <w:r w:rsidRPr="00161C1B">
              <w:rPr>
                <w:sz w:val="22"/>
                <w:szCs w:val="22"/>
                <w:lang w:val="en-US"/>
              </w:rPr>
              <w:t>PNV-EA</w:t>
            </w:r>
          </w:p>
        </w:tc>
        <w:tc>
          <w:tcPr>
            <w:tcW w:w="749" w:type="dxa"/>
          </w:tcPr>
          <w:p w:rsidR="00EA2DE1" w:rsidRPr="00161C1B" w:rsidRDefault="00EA2DE1" w:rsidP="00895231">
            <w:pPr>
              <w:jc w:val="center"/>
              <w:rPr>
                <w:sz w:val="22"/>
                <w:szCs w:val="22"/>
                <w:lang w:val="en-US"/>
              </w:rPr>
            </w:pPr>
            <w:r w:rsidRPr="00161C1B">
              <w:rPr>
                <w:sz w:val="22"/>
                <w:szCs w:val="22"/>
                <w:lang w:val="en-US"/>
              </w:rPr>
              <w:t>PNV-EA</w:t>
            </w:r>
          </w:p>
        </w:tc>
        <w:tc>
          <w:tcPr>
            <w:tcW w:w="749" w:type="dxa"/>
          </w:tcPr>
          <w:p w:rsidR="00EA2DE1" w:rsidRPr="00161C1B" w:rsidRDefault="00EA2DE1" w:rsidP="00895231">
            <w:pPr>
              <w:jc w:val="center"/>
              <w:rPr>
                <w:sz w:val="22"/>
                <w:szCs w:val="22"/>
                <w:lang w:val="en-US"/>
              </w:rPr>
            </w:pPr>
            <w:r w:rsidRPr="00161C1B">
              <w:rPr>
                <w:sz w:val="22"/>
                <w:szCs w:val="22"/>
                <w:lang w:val="en-US"/>
              </w:rPr>
              <w:t>PNV-EA-EB</w:t>
            </w:r>
          </w:p>
        </w:tc>
        <w:tc>
          <w:tcPr>
            <w:tcW w:w="738" w:type="dxa"/>
          </w:tcPr>
          <w:p w:rsidR="00EA2DE1" w:rsidRPr="00161C1B" w:rsidRDefault="00EA2DE1" w:rsidP="00895231">
            <w:pPr>
              <w:jc w:val="center"/>
              <w:rPr>
                <w:sz w:val="22"/>
                <w:szCs w:val="22"/>
                <w:lang w:val="en-US"/>
              </w:rPr>
            </w:pPr>
            <w:r w:rsidRPr="00161C1B">
              <w:rPr>
                <w:sz w:val="22"/>
                <w:szCs w:val="22"/>
                <w:lang w:val="en-US"/>
              </w:rPr>
              <w:t>PSE</w:t>
            </w:r>
          </w:p>
        </w:tc>
        <w:tc>
          <w:tcPr>
            <w:tcW w:w="738" w:type="dxa"/>
          </w:tcPr>
          <w:p w:rsidR="00EA2DE1" w:rsidRPr="00161C1B" w:rsidRDefault="00EA2DE1" w:rsidP="00895231">
            <w:pPr>
              <w:jc w:val="center"/>
              <w:rPr>
                <w:sz w:val="22"/>
                <w:szCs w:val="22"/>
                <w:lang w:val="en-US"/>
              </w:rPr>
            </w:pPr>
            <w:r w:rsidRPr="00161C1B">
              <w:rPr>
                <w:sz w:val="22"/>
                <w:szCs w:val="22"/>
                <w:lang w:val="en-US"/>
              </w:rPr>
              <w:t>PNV</w:t>
            </w:r>
          </w:p>
        </w:tc>
      </w:tr>
      <w:tr w:rsidR="00EA2DE1" w:rsidRPr="00161C1B" w:rsidTr="00895231">
        <w:tc>
          <w:tcPr>
            <w:tcW w:w="1049" w:type="dxa"/>
            <w:vMerge/>
          </w:tcPr>
          <w:p w:rsidR="00EA2DE1" w:rsidRPr="00161C1B" w:rsidRDefault="00EA2DE1" w:rsidP="00895231">
            <w:pPr>
              <w:jc w:val="center"/>
              <w:rPr>
                <w:b/>
                <w:sz w:val="22"/>
                <w:szCs w:val="22"/>
                <w:lang w:val="en-US"/>
              </w:rPr>
            </w:pPr>
          </w:p>
        </w:tc>
        <w:tc>
          <w:tcPr>
            <w:tcW w:w="749" w:type="dxa"/>
          </w:tcPr>
          <w:p w:rsidR="00EA2DE1" w:rsidRPr="00161C1B" w:rsidRDefault="00EA2DE1" w:rsidP="00895231">
            <w:pPr>
              <w:jc w:val="center"/>
              <w:rPr>
                <w:sz w:val="22"/>
                <w:szCs w:val="22"/>
                <w:lang w:val="en-US"/>
              </w:rPr>
            </w:pPr>
          </w:p>
        </w:tc>
        <w:tc>
          <w:tcPr>
            <w:tcW w:w="738" w:type="dxa"/>
          </w:tcPr>
          <w:p w:rsidR="00EA2DE1" w:rsidRPr="00161C1B" w:rsidRDefault="00EA2DE1" w:rsidP="00895231">
            <w:pPr>
              <w:jc w:val="center"/>
              <w:rPr>
                <w:sz w:val="22"/>
                <w:szCs w:val="22"/>
                <w:lang w:val="en-US"/>
              </w:rPr>
            </w:pPr>
          </w:p>
        </w:tc>
        <w:tc>
          <w:tcPr>
            <w:tcW w:w="749" w:type="dxa"/>
          </w:tcPr>
          <w:p w:rsidR="00EA2DE1" w:rsidRPr="00161C1B" w:rsidRDefault="00EA2DE1" w:rsidP="00895231">
            <w:pPr>
              <w:jc w:val="center"/>
              <w:rPr>
                <w:sz w:val="22"/>
                <w:szCs w:val="22"/>
                <w:lang w:val="en-US"/>
              </w:rPr>
            </w:pPr>
          </w:p>
        </w:tc>
        <w:tc>
          <w:tcPr>
            <w:tcW w:w="749" w:type="dxa"/>
          </w:tcPr>
          <w:p w:rsidR="00EA2DE1" w:rsidRPr="00161C1B" w:rsidRDefault="00EA2DE1" w:rsidP="00895231">
            <w:pPr>
              <w:jc w:val="center"/>
              <w:rPr>
                <w:sz w:val="22"/>
                <w:szCs w:val="22"/>
                <w:lang w:val="en-US"/>
              </w:rPr>
            </w:pPr>
            <w:r w:rsidRPr="00161C1B">
              <w:rPr>
                <w:sz w:val="22"/>
                <w:szCs w:val="22"/>
                <w:lang w:val="en-US"/>
              </w:rPr>
              <w:t>PNV-PSE-EE</w:t>
            </w:r>
          </w:p>
        </w:tc>
        <w:tc>
          <w:tcPr>
            <w:tcW w:w="963" w:type="dxa"/>
          </w:tcPr>
          <w:p w:rsidR="00EA2DE1" w:rsidRPr="00161C1B" w:rsidRDefault="00EA2DE1" w:rsidP="00895231">
            <w:pPr>
              <w:jc w:val="center"/>
              <w:rPr>
                <w:sz w:val="22"/>
                <w:szCs w:val="22"/>
                <w:lang w:val="en-US"/>
              </w:rPr>
            </w:pPr>
            <w:r w:rsidRPr="00161C1B">
              <w:rPr>
                <w:sz w:val="22"/>
                <w:szCs w:val="22"/>
                <w:lang w:val="en-US"/>
              </w:rPr>
              <w:t>PNV-EA</w:t>
            </w:r>
          </w:p>
        </w:tc>
        <w:tc>
          <w:tcPr>
            <w:tcW w:w="749" w:type="dxa"/>
          </w:tcPr>
          <w:p w:rsidR="00EA2DE1" w:rsidRPr="00161C1B" w:rsidRDefault="00EA2DE1" w:rsidP="00895231">
            <w:pPr>
              <w:jc w:val="center"/>
              <w:rPr>
                <w:sz w:val="22"/>
                <w:szCs w:val="22"/>
                <w:lang w:val="en-US"/>
              </w:rPr>
            </w:pPr>
          </w:p>
        </w:tc>
        <w:tc>
          <w:tcPr>
            <w:tcW w:w="749" w:type="dxa"/>
          </w:tcPr>
          <w:p w:rsidR="00EA2DE1" w:rsidRPr="00161C1B" w:rsidRDefault="00EA2DE1" w:rsidP="00895231">
            <w:pPr>
              <w:jc w:val="center"/>
              <w:rPr>
                <w:sz w:val="22"/>
                <w:szCs w:val="22"/>
                <w:lang w:val="en-US"/>
              </w:rPr>
            </w:pPr>
            <w:r w:rsidRPr="00161C1B">
              <w:rPr>
                <w:sz w:val="22"/>
                <w:szCs w:val="22"/>
                <w:lang w:val="en-US"/>
              </w:rPr>
              <w:t>PNV-EA-EB</w:t>
            </w:r>
          </w:p>
        </w:tc>
        <w:tc>
          <w:tcPr>
            <w:tcW w:w="749" w:type="dxa"/>
          </w:tcPr>
          <w:p w:rsidR="00EA2DE1" w:rsidRPr="00161C1B" w:rsidRDefault="00EA2DE1" w:rsidP="00895231">
            <w:pPr>
              <w:jc w:val="center"/>
              <w:rPr>
                <w:sz w:val="22"/>
                <w:szCs w:val="22"/>
                <w:lang w:val="en-US"/>
              </w:rPr>
            </w:pPr>
          </w:p>
        </w:tc>
        <w:tc>
          <w:tcPr>
            <w:tcW w:w="738" w:type="dxa"/>
          </w:tcPr>
          <w:p w:rsidR="00EA2DE1" w:rsidRPr="00161C1B" w:rsidRDefault="00EA2DE1" w:rsidP="00895231">
            <w:pPr>
              <w:jc w:val="center"/>
              <w:rPr>
                <w:sz w:val="22"/>
                <w:szCs w:val="22"/>
                <w:lang w:val="en-US"/>
              </w:rPr>
            </w:pPr>
          </w:p>
        </w:tc>
        <w:tc>
          <w:tcPr>
            <w:tcW w:w="738" w:type="dxa"/>
          </w:tcPr>
          <w:p w:rsidR="00EA2DE1" w:rsidRPr="00161C1B" w:rsidRDefault="00EA2DE1" w:rsidP="00895231">
            <w:pPr>
              <w:jc w:val="center"/>
              <w:rPr>
                <w:sz w:val="22"/>
                <w:szCs w:val="22"/>
                <w:lang w:val="en-US"/>
              </w:rPr>
            </w:pPr>
          </w:p>
        </w:tc>
      </w:tr>
    </w:tbl>
    <w:p w:rsidR="00EA2DE1" w:rsidRPr="00161C1B" w:rsidRDefault="00EA2DE1" w:rsidP="00EA2DE1">
      <w:pPr>
        <w:spacing w:after="0" w:line="240" w:lineRule="auto"/>
        <w:rPr>
          <w:rFonts w:ascii="Times New Roman" w:hAnsi="Times New Roman" w:cs="Times New Roman"/>
          <w:lang w:val="en-US"/>
        </w:rPr>
      </w:pPr>
      <w:r w:rsidRPr="00161C1B">
        <w:rPr>
          <w:rFonts w:ascii="Times New Roman" w:hAnsi="Times New Roman" w:cs="Times New Roman"/>
          <w:i/>
          <w:lang w:val="en-US"/>
        </w:rPr>
        <w:t>Sources</w:t>
      </w:r>
      <w:r w:rsidRPr="00161C1B">
        <w:rPr>
          <w:rFonts w:ascii="Times New Roman" w:hAnsi="Times New Roman" w:cs="Times New Roman"/>
          <w:lang w:val="en-US"/>
        </w:rPr>
        <w:t>: Own calculations.</w:t>
      </w:r>
    </w:p>
    <w:p w:rsidR="00EA2DE1" w:rsidRDefault="00EA2DE1" w:rsidP="00161C1B">
      <w:pPr>
        <w:spacing w:after="0" w:line="360" w:lineRule="auto"/>
        <w:jc w:val="both"/>
        <w:rPr>
          <w:rFonts w:ascii="Times New Roman" w:hAnsi="Times New Roman" w:cs="Times New Roman"/>
          <w:b/>
          <w:sz w:val="24"/>
          <w:szCs w:val="24"/>
          <w:lang w:val="en-US"/>
        </w:rPr>
      </w:pP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Table </w:t>
      </w:r>
      <w:r w:rsidR="001C0BD3">
        <w:rPr>
          <w:rFonts w:ascii="Times New Roman" w:hAnsi="Times New Roman" w:cs="Times New Roman"/>
          <w:sz w:val="24"/>
          <w:szCs w:val="24"/>
          <w:lang w:val="en-US"/>
        </w:rPr>
        <w:t>6</w:t>
      </w:r>
      <w:r w:rsidRPr="00161C1B">
        <w:rPr>
          <w:rFonts w:ascii="Times New Roman" w:hAnsi="Times New Roman" w:cs="Times New Roman"/>
          <w:sz w:val="24"/>
          <w:szCs w:val="24"/>
          <w:lang w:val="en-US"/>
        </w:rPr>
        <w:t xml:space="preserve"> looks at the main indicators of party system change in the Basque Country since the first regional parliament elections in March 1980. </w:t>
      </w:r>
      <w:r w:rsidR="001C0BD3">
        <w:rPr>
          <w:rFonts w:ascii="Times New Roman" w:hAnsi="Times New Roman" w:cs="Times New Roman"/>
          <w:sz w:val="24"/>
          <w:szCs w:val="24"/>
          <w:lang w:val="en-US"/>
        </w:rPr>
        <w:t>B</w:t>
      </w:r>
      <w:r w:rsidRPr="00161C1B">
        <w:rPr>
          <w:rFonts w:ascii="Times New Roman" w:hAnsi="Times New Roman" w:cs="Times New Roman"/>
          <w:sz w:val="24"/>
          <w:szCs w:val="24"/>
          <w:lang w:val="en-US"/>
        </w:rPr>
        <w:t xml:space="preserve">etween 1980 and 2005 all ideological options in the Basque </w:t>
      </w:r>
      <w:r w:rsidR="001C0BD3">
        <w:rPr>
          <w:rFonts w:ascii="Times New Roman" w:hAnsi="Times New Roman" w:cs="Times New Roman"/>
          <w:sz w:val="24"/>
          <w:szCs w:val="24"/>
          <w:lang w:val="en-US"/>
        </w:rPr>
        <w:t>C</w:t>
      </w:r>
      <w:r w:rsidRPr="00161C1B">
        <w:rPr>
          <w:rFonts w:ascii="Times New Roman" w:hAnsi="Times New Roman" w:cs="Times New Roman"/>
          <w:sz w:val="24"/>
          <w:szCs w:val="24"/>
          <w:lang w:val="en-US"/>
        </w:rPr>
        <w:t>ountry (from post-</w:t>
      </w:r>
      <w:proofErr w:type="spellStart"/>
      <w:r w:rsidRPr="00161C1B">
        <w:rPr>
          <w:rFonts w:ascii="Times New Roman" w:hAnsi="Times New Roman" w:cs="Times New Roman"/>
          <w:sz w:val="24"/>
          <w:szCs w:val="24"/>
          <w:lang w:val="en-US"/>
        </w:rPr>
        <w:t>Francoist</w:t>
      </w:r>
      <w:proofErr w:type="spellEnd"/>
      <w:r w:rsidRPr="00161C1B">
        <w:rPr>
          <w:rFonts w:ascii="Times New Roman" w:hAnsi="Times New Roman" w:cs="Times New Roman"/>
          <w:sz w:val="24"/>
          <w:szCs w:val="24"/>
          <w:lang w:val="en-US"/>
        </w:rPr>
        <w:t xml:space="preserve"> and pro-</w:t>
      </w:r>
      <w:proofErr w:type="spellStart"/>
      <w:r w:rsidRPr="00161C1B">
        <w:rPr>
          <w:rFonts w:ascii="Times New Roman" w:hAnsi="Times New Roman" w:cs="Times New Roman"/>
          <w:sz w:val="24"/>
          <w:szCs w:val="24"/>
          <w:lang w:val="en-US"/>
        </w:rPr>
        <w:t>independentist</w:t>
      </w:r>
      <w:proofErr w:type="spellEnd"/>
      <w:r w:rsidRPr="00161C1B">
        <w:rPr>
          <w:rFonts w:ascii="Times New Roman" w:hAnsi="Times New Roman" w:cs="Times New Roman"/>
          <w:sz w:val="24"/>
          <w:szCs w:val="24"/>
          <w:lang w:val="en-US"/>
        </w:rPr>
        <w:t xml:space="preserve"> to Communists and pro-</w:t>
      </w:r>
      <w:r w:rsidR="001C0BD3">
        <w:rPr>
          <w:rFonts w:ascii="Times New Roman" w:hAnsi="Times New Roman" w:cs="Times New Roman"/>
          <w:sz w:val="24"/>
          <w:szCs w:val="24"/>
          <w:lang w:val="en-US"/>
        </w:rPr>
        <w:t>ETA</w:t>
      </w:r>
      <w:r w:rsidR="00925BC1">
        <w:rPr>
          <w:rFonts w:ascii="Times New Roman" w:hAnsi="Times New Roman" w:cs="Times New Roman"/>
          <w:sz w:val="24"/>
          <w:szCs w:val="24"/>
          <w:lang w:val="en-US"/>
        </w:rPr>
        <w:t>) w</w:t>
      </w:r>
      <w:r w:rsidRPr="00161C1B">
        <w:rPr>
          <w:rFonts w:ascii="Times New Roman" w:hAnsi="Times New Roman" w:cs="Times New Roman"/>
          <w:sz w:val="24"/>
          <w:szCs w:val="24"/>
          <w:lang w:val="en-US"/>
        </w:rPr>
        <w:t xml:space="preserve">ere </w:t>
      </w:r>
      <w:r w:rsidRPr="00161C1B">
        <w:rPr>
          <w:rFonts w:ascii="Times New Roman" w:hAnsi="Times New Roman" w:cs="Times New Roman"/>
          <w:sz w:val="24"/>
          <w:szCs w:val="24"/>
          <w:lang w:val="en-US"/>
        </w:rPr>
        <w:lastRenderedPageBreak/>
        <w:t>allowed to present candidat</w:t>
      </w:r>
      <w:r w:rsidR="001C0BD3">
        <w:rPr>
          <w:rFonts w:ascii="Times New Roman" w:hAnsi="Times New Roman" w:cs="Times New Roman"/>
          <w:sz w:val="24"/>
          <w:szCs w:val="24"/>
          <w:lang w:val="en-US"/>
        </w:rPr>
        <w:t>es</w:t>
      </w:r>
      <w:r w:rsidRPr="00161C1B">
        <w:rPr>
          <w:rFonts w:ascii="Times New Roman" w:hAnsi="Times New Roman" w:cs="Times New Roman"/>
          <w:sz w:val="24"/>
          <w:szCs w:val="24"/>
          <w:lang w:val="en-US"/>
        </w:rPr>
        <w:t xml:space="preserve"> at the time of the regional elections</w:t>
      </w:r>
      <w:r w:rsidR="001C0BD3">
        <w:rPr>
          <w:rFonts w:ascii="Times New Roman" w:hAnsi="Times New Roman" w:cs="Times New Roman"/>
          <w:sz w:val="24"/>
          <w:szCs w:val="24"/>
          <w:lang w:val="en-US"/>
        </w:rPr>
        <w:t>.</w:t>
      </w:r>
      <w:r w:rsidRPr="00161C1B">
        <w:rPr>
          <w:rStyle w:val="FootnoteReference"/>
          <w:rFonts w:ascii="Times New Roman" w:hAnsi="Times New Roman" w:cs="Times New Roman"/>
          <w:sz w:val="24"/>
          <w:szCs w:val="24"/>
          <w:lang w:val="en-US"/>
        </w:rPr>
        <w:footnoteReference w:id="15"/>
      </w:r>
      <w:r w:rsidRPr="00161C1B">
        <w:rPr>
          <w:rFonts w:ascii="Times New Roman" w:hAnsi="Times New Roman" w:cs="Times New Roman"/>
          <w:sz w:val="24"/>
          <w:szCs w:val="24"/>
          <w:lang w:val="en-US"/>
        </w:rPr>
        <w:t xml:space="preserve"> </w:t>
      </w:r>
      <w:r w:rsidR="001C0BD3">
        <w:rPr>
          <w:rFonts w:ascii="Times New Roman" w:hAnsi="Times New Roman" w:cs="Times New Roman"/>
          <w:sz w:val="24"/>
          <w:szCs w:val="24"/>
          <w:lang w:val="en-US"/>
        </w:rPr>
        <w:t>T</w:t>
      </w:r>
      <w:r w:rsidRPr="00161C1B">
        <w:rPr>
          <w:rFonts w:ascii="Times New Roman" w:hAnsi="Times New Roman" w:cs="Times New Roman"/>
          <w:sz w:val="24"/>
          <w:szCs w:val="24"/>
          <w:lang w:val="en-US"/>
        </w:rPr>
        <w:t xml:space="preserve">his was not the case </w:t>
      </w:r>
      <w:r w:rsidR="001C0BD3">
        <w:rPr>
          <w:rFonts w:ascii="Times New Roman" w:hAnsi="Times New Roman" w:cs="Times New Roman"/>
          <w:sz w:val="24"/>
          <w:szCs w:val="24"/>
          <w:lang w:val="en-US"/>
        </w:rPr>
        <w:t xml:space="preserve">for </w:t>
      </w:r>
      <w:r w:rsidRPr="00161C1B">
        <w:rPr>
          <w:rFonts w:ascii="Times New Roman" w:hAnsi="Times New Roman" w:cs="Times New Roman"/>
          <w:sz w:val="24"/>
          <w:szCs w:val="24"/>
          <w:lang w:val="en-US"/>
        </w:rPr>
        <w:t xml:space="preserve">2009 when two parties reportedly tied to ETA (i.e. </w:t>
      </w:r>
      <w:proofErr w:type="spellStart"/>
      <w:r w:rsidRPr="00161C1B">
        <w:rPr>
          <w:rFonts w:ascii="Times New Roman" w:hAnsi="Times New Roman" w:cs="Times New Roman"/>
          <w:i/>
          <w:color w:val="000000"/>
          <w:sz w:val="24"/>
          <w:szCs w:val="24"/>
          <w:lang w:val="en-US"/>
        </w:rPr>
        <w:t>Demokrazia</w:t>
      </w:r>
      <w:proofErr w:type="spellEnd"/>
      <w:r w:rsidRPr="00161C1B">
        <w:rPr>
          <w:rFonts w:ascii="Times New Roman" w:hAnsi="Times New Roman" w:cs="Times New Roman"/>
          <w:i/>
          <w:color w:val="000000"/>
          <w:sz w:val="24"/>
          <w:szCs w:val="24"/>
          <w:lang w:val="en-US"/>
        </w:rPr>
        <w:t xml:space="preserve"> </w:t>
      </w:r>
      <w:proofErr w:type="spellStart"/>
      <w:r w:rsidRPr="00161C1B">
        <w:rPr>
          <w:rFonts w:ascii="Times New Roman" w:hAnsi="Times New Roman" w:cs="Times New Roman"/>
          <w:i/>
          <w:color w:val="000000"/>
          <w:sz w:val="24"/>
          <w:szCs w:val="24"/>
          <w:lang w:val="en-US"/>
        </w:rPr>
        <w:t>Hiru</w:t>
      </w:r>
      <w:proofErr w:type="spellEnd"/>
      <w:r w:rsidRPr="00161C1B">
        <w:rPr>
          <w:rFonts w:ascii="Times New Roman" w:hAnsi="Times New Roman" w:cs="Times New Roman"/>
          <w:i/>
          <w:color w:val="000000"/>
          <w:sz w:val="24"/>
          <w:szCs w:val="24"/>
          <w:lang w:val="en-US"/>
        </w:rPr>
        <w:t xml:space="preserve"> Milioi-D3M</w:t>
      </w:r>
      <w:r w:rsidRPr="00161C1B">
        <w:rPr>
          <w:rFonts w:ascii="Times New Roman" w:hAnsi="Times New Roman" w:cs="Times New Roman"/>
          <w:sz w:val="24"/>
          <w:szCs w:val="24"/>
          <w:lang w:val="en-US"/>
        </w:rPr>
        <w:t xml:space="preserve"> and </w:t>
      </w:r>
      <w:proofErr w:type="spellStart"/>
      <w:r w:rsidRPr="00161C1B">
        <w:rPr>
          <w:rFonts w:ascii="Times New Roman" w:hAnsi="Times New Roman" w:cs="Times New Roman"/>
          <w:i/>
          <w:sz w:val="24"/>
          <w:szCs w:val="24"/>
          <w:lang w:val="en-US"/>
        </w:rPr>
        <w:t>Askatasuna</w:t>
      </w:r>
      <w:proofErr w:type="spellEnd"/>
      <w:r w:rsidRPr="00161C1B">
        <w:rPr>
          <w:rFonts w:ascii="Times New Roman" w:hAnsi="Times New Roman" w:cs="Times New Roman"/>
          <w:sz w:val="24"/>
          <w:szCs w:val="24"/>
          <w:lang w:val="en-US"/>
        </w:rPr>
        <w:t xml:space="preserve">) were banned by the Supreme Court (Bourne, 2012b). </w:t>
      </w:r>
      <w:r w:rsidR="001C0BD3">
        <w:rPr>
          <w:rFonts w:ascii="Times New Roman" w:hAnsi="Times New Roman" w:cs="Times New Roman"/>
          <w:sz w:val="24"/>
          <w:szCs w:val="24"/>
          <w:lang w:val="en-US"/>
        </w:rPr>
        <w:t xml:space="preserve">Before the </w:t>
      </w:r>
      <w:r w:rsidRPr="00161C1B">
        <w:rPr>
          <w:rFonts w:ascii="Times New Roman" w:hAnsi="Times New Roman" w:cs="Times New Roman"/>
          <w:sz w:val="24"/>
          <w:szCs w:val="24"/>
          <w:lang w:val="en-US"/>
        </w:rPr>
        <w:t>2012</w:t>
      </w:r>
      <w:r w:rsidR="001C0BD3">
        <w:rPr>
          <w:rFonts w:ascii="Times New Roman" w:hAnsi="Times New Roman" w:cs="Times New Roman"/>
          <w:sz w:val="24"/>
          <w:szCs w:val="24"/>
          <w:lang w:val="en-US"/>
        </w:rPr>
        <w:t xml:space="preserve"> elections</w:t>
      </w:r>
      <w:r w:rsidRPr="00161C1B">
        <w:rPr>
          <w:rFonts w:ascii="Times New Roman" w:hAnsi="Times New Roman" w:cs="Times New Roman"/>
          <w:sz w:val="24"/>
          <w:szCs w:val="24"/>
          <w:lang w:val="en-US"/>
        </w:rPr>
        <w:t xml:space="preserve">, the radical </w:t>
      </w:r>
      <w:r w:rsidR="00925BC1">
        <w:rPr>
          <w:rFonts w:ascii="Times New Roman" w:hAnsi="Times New Roman" w:cs="Times New Roman"/>
          <w:sz w:val="24"/>
          <w:szCs w:val="24"/>
          <w:lang w:val="en-US"/>
        </w:rPr>
        <w:t xml:space="preserve">nationalist left </w:t>
      </w:r>
      <w:r w:rsidRPr="00161C1B">
        <w:rPr>
          <w:rFonts w:ascii="Times New Roman" w:hAnsi="Times New Roman" w:cs="Times New Roman"/>
          <w:sz w:val="24"/>
          <w:szCs w:val="24"/>
          <w:lang w:val="en-US"/>
        </w:rPr>
        <w:t xml:space="preserve">managed to present their own candidature within </w:t>
      </w:r>
      <w:proofErr w:type="spellStart"/>
      <w:r w:rsidRPr="00161C1B">
        <w:rPr>
          <w:rFonts w:ascii="Times New Roman" w:hAnsi="Times New Roman" w:cs="Times New Roman"/>
          <w:i/>
          <w:sz w:val="24"/>
          <w:szCs w:val="24"/>
          <w:lang w:val="en-US"/>
        </w:rPr>
        <w:t>Euskal</w:t>
      </w:r>
      <w:proofErr w:type="spellEnd"/>
      <w:r w:rsidRPr="00161C1B">
        <w:rPr>
          <w:rFonts w:ascii="Times New Roman" w:hAnsi="Times New Roman" w:cs="Times New Roman"/>
          <w:i/>
          <w:sz w:val="24"/>
          <w:szCs w:val="24"/>
          <w:lang w:val="en-US"/>
        </w:rPr>
        <w:t xml:space="preserve"> </w:t>
      </w:r>
      <w:proofErr w:type="spellStart"/>
      <w:r w:rsidRPr="00161C1B">
        <w:rPr>
          <w:rFonts w:ascii="Times New Roman" w:hAnsi="Times New Roman" w:cs="Times New Roman"/>
          <w:i/>
          <w:sz w:val="24"/>
          <w:szCs w:val="24"/>
          <w:lang w:val="en-US"/>
        </w:rPr>
        <w:t>Herria</w:t>
      </w:r>
      <w:proofErr w:type="spellEnd"/>
      <w:r w:rsidRPr="00161C1B">
        <w:rPr>
          <w:rFonts w:ascii="Times New Roman" w:hAnsi="Times New Roman" w:cs="Times New Roman"/>
          <w:i/>
          <w:sz w:val="24"/>
          <w:szCs w:val="24"/>
          <w:lang w:val="en-US"/>
        </w:rPr>
        <w:t xml:space="preserve"> </w:t>
      </w:r>
      <w:proofErr w:type="spellStart"/>
      <w:r w:rsidRPr="00161C1B">
        <w:rPr>
          <w:rFonts w:ascii="Times New Roman" w:hAnsi="Times New Roman" w:cs="Times New Roman"/>
          <w:i/>
          <w:sz w:val="24"/>
          <w:szCs w:val="24"/>
          <w:lang w:val="en-US"/>
        </w:rPr>
        <w:t>Bildu</w:t>
      </w:r>
      <w:proofErr w:type="spellEnd"/>
      <w:r w:rsidRPr="00161C1B">
        <w:rPr>
          <w:rFonts w:ascii="Times New Roman" w:hAnsi="Times New Roman" w:cs="Times New Roman"/>
          <w:sz w:val="24"/>
          <w:szCs w:val="24"/>
          <w:lang w:val="en-US"/>
        </w:rPr>
        <w:t xml:space="preserve"> (EH </w:t>
      </w:r>
      <w:proofErr w:type="spellStart"/>
      <w:r w:rsidRPr="00161C1B">
        <w:rPr>
          <w:rFonts w:ascii="Times New Roman" w:hAnsi="Times New Roman" w:cs="Times New Roman"/>
          <w:sz w:val="24"/>
          <w:szCs w:val="24"/>
          <w:lang w:val="en-US"/>
        </w:rPr>
        <w:t>Bildu</w:t>
      </w:r>
      <w:proofErr w:type="spellEnd"/>
      <w:r w:rsidRPr="00161C1B">
        <w:rPr>
          <w:rFonts w:ascii="Times New Roman" w:hAnsi="Times New Roman" w:cs="Times New Roman"/>
          <w:sz w:val="24"/>
          <w:szCs w:val="24"/>
          <w:lang w:val="en-US"/>
        </w:rPr>
        <w:t xml:space="preserve">), an electoral coalition comprising the social-democratic </w:t>
      </w:r>
      <w:proofErr w:type="spellStart"/>
      <w:r w:rsidRPr="00161C1B">
        <w:rPr>
          <w:rFonts w:ascii="Times New Roman" w:hAnsi="Times New Roman" w:cs="Times New Roman"/>
          <w:i/>
          <w:sz w:val="24"/>
          <w:szCs w:val="24"/>
          <w:lang w:val="en-US"/>
        </w:rPr>
        <w:t>Eusko</w:t>
      </w:r>
      <w:proofErr w:type="spellEnd"/>
      <w:r w:rsidRPr="00161C1B">
        <w:rPr>
          <w:rFonts w:ascii="Times New Roman" w:hAnsi="Times New Roman" w:cs="Times New Roman"/>
          <w:i/>
          <w:sz w:val="24"/>
          <w:szCs w:val="24"/>
          <w:lang w:val="en-US"/>
        </w:rPr>
        <w:t xml:space="preserve"> </w:t>
      </w:r>
      <w:proofErr w:type="spellStart"/>
      <w:r w:rsidRPr="00161C1B">
        <w:rPr>
          <w:rFonts w:ascii="Times New Roman" w:hAnsi="Times New Roman" w:cs="Times New Roman"/>
          <w:i/>
          <w:sz w:val="24"/>
          <w:szCs w:val="24"/>
          <w:lang w:val="en-US"/>
        </w:rPr>
        <w:t>Alkartasuna</w:t>
      </w:r>
      <w:proofErr w:type="spellEnd"/>
      <w:r w:rsidRPr="00161C1B">
        <w:rPr>
          <w:rFonts w:ascii="Times New Roman" w:hAnsi="Times New Roman" w:cs="Times New Roman"/>
          <w:sz w:val="24"/>
          <w:szCs w:val="24"/>
          <w:lang w:val="en-US"/>
        </w:rPr>
        <w:t xml:space="preserve"> (EA) and various parties of the so-called Basque radical nationalist left (i.e. </w:t>
      </w:r>
      <w:proofErr w:type="spellStart"/>
      <w:r w:rsidRPr="00161C1B">
        <w:rPr>
          <w:rFonts w:ascii="Times New Roman" w:hAnsi="Times New Roman" w:cs="Times New Roman"/>
          <w:i/>
          <w:sz w:val="24"/>
          <w:szCs w:val="24"/>
          <w:lang w:val="en-US"/>
        </w:rPr>
        <w:t>Aralar</w:t>
      </w:r>
      <w:proofErr w:type="spellEnd"/>
      <w:r w:rsidRPr="00161C1B">
        <w:rPr>
          <w:rFonts w:ascii="Times New Roman" w:hAnsi="Times New Roman" w:cs="Times New Roman"/>
          <w:sz w:val="24"/>
          <w:szCs w:val="24"/>
          <w:lang w:val="en-US"/>
        </w:rPr>
        <w:t xml:space="preserve">, </w:t>
      </w:r>
      <w:proofErr w:type="spellStart"/>
      <w:r w:rsidRPr="00161C1B">
        <w:rPr>
          <w:rFonts w:ascii="Times New Roman" w:hAnsi="Times New Roman" w:cs="Times New Roman"/>
          <w:i/>
          <w:sz w:val="24"/>
          <w:szCs w:val="24"/>
          <w:lang w:val="en-US"/>
        </w:rPr>
        <w:t>Alternatiba</w:t>
      </w:r>
      <w:proofErr w:type="spellEnd"/>
      <w:r w:rsidRPr="00161C1B">
        <w:rPr>
          <w:rFonts w:ascii="Times New Roman" w:hAnsi="Times New Roman" w:cs="Times New Roman"/>
          <w:sz w:val="24"/>
          <w:szCs w:val="24"/>
          <w:lang w:val="en-US"/>
        </w:rPr>
        <w:t xml:space="preserve"> and </w:t>
      </w:r>
      <w:proofErr w:type="spellStart"/>
      <w:r w:rsidRPr="00161C1B">
        <w:rPr>
          <w:rFonts w:ascii="Times New Roman" w:hAnsi="Times New Roman" w:cs="Times New Roman"/>
          <w:i/>
          <w:sz w:val="24"/>
          <w:szCs w:val="24"/>
          <w:lang w:val="en-US"/>
        </w:rPr>
        <w:t>Sortu</w:t>
      </w:r>
      <w:proofErr w:type="spellEnd"/>
      <w:r w:rsidRPr="00161C1B">
        <w:rPr>
          <w:rFonts w:ascii="Times New Roman" w:hAnsi="Times New Roman" w:cs="Times New Roman"/>
          <w:sz w:val="24"/>
          <w:szCs w:val="24"/>
          <w:lang w:val="en-US"/>
        </w:rPr>
        <w:t>).</w:t>
      </w:r>
    </w:p>
    <w:p w:rsidR="00EA2DE1" w:rsidRDefault="00EA2DE1" w:rsidP="00895231">
      <w:pPr>
        <w:spacing w:after="0" w:line="360" w:lineRule="auto"/>
        <w:jc w:val="both"/>
        <w:rPr>
          <w:rFonts w:ascii="Times New Roman" w:hAnsi="Times New Roman" w:cs="Times New Roman"/>
          <w:sz w:val="24"/>
          <w:szCs w:val="24"/>
          <w:lang w:val="en-US"/>
        </w:rPr>
      </w:pPr>
    </w:p>
    <w:p w:rsidR="00161C1B" w:rsidRPr="00161C1B" w:rsidRDefault="00895231" w:rsidP="0089523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61C1B" w:rsidRPr="00161C1B">
        <w:rPr>
          <w:rFonts w:ascii="Times New Roman" w:hAnsi="Times New Roman" w:cs="Times New Roman"/>
          <w:sz w:val="24"/>
          <w:szCs w:val="24"/>
          <w:lang w:val="en-US"/>
        </w:rPr>
        <w:t>able</w:t>
      </w:r>
      <w:r>
        <w:rPr>
          <w:rFonts w:ascii="Times New Roman" w:hAnsi="Times New Roman" w:cs="Times New Roman"/>
          <w:sz w:val="24"/>
          <w:szCs w:val="24"/>
          <w:lang w:val="en-US"/>
        </w:rPr>
        <w:t xml:space="preserve"> 6 </w:t>
      </w:r>
      <w:r w:rsidR="00161C1B" w:rsidRPr="00161C1B">
        <w:rPr>
          <w:rFonts w:ascii="Times New Roman" w:hAnsi="Times New Roman" w:cs="Times New Roman"/>
          <w:sz w:val="24"/>
          <w:szCs w:val="24"/>
          <w:lang w:val="en-US"/>
        </w:rPr>
        <w:t xml:space="preserve">shows a strong contrast between the last two elections and the rest. This is especially visible in terms of electoral volatility (TEV), the number of spoiled ballots and the patterns of partisan competition for government. Thus, while between 1984 and 2005 the average level of electoral volatility is 10.9, between 2009 and 2012 TEV almost doubles. </w:t>
      </w:r>
      <w:r>
        <w:rPr>
          <w:rFonts w:ascii="Times New Roman" w:hAnsi="Times New Roman" w:cs="Times New Roman"/>
          <w:sz w:val="24"/>
          <w:szCs w:val="24"/>
          <w:lang w:val="en-US"/>
        </w:rPr>
        <w:t>W</w:t>
      </w:r>
      <w:r w:rsidR="00161C1B" w:rsidRPr="00161C1B">
        <w:rPr>
          <w:rFonts w:ascii="Times New Roman" w:hAnsi="Times New Roman" w:cs="Times New Roman"/>
          <w:sz w:val="24"/>
          <w:szCs w:val="24"/>
          <w:lang w:val="en-US"/>
        </w:rPr>
        <w:t>hile in the first 25 years of the Basque party system the TEV surpassed the 15 percent threshold</w:t>
      </w:r>
      <w:r w:rsidRPr="008952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161C1B">
        <w:rPr>
          <w:rFonts w:ascii="Times New Roman" w:hAnsi="Times New Roman" w:cs="Times New Roman"/>
          <w:sz w:val="24"/>
          <w:szCs w:val="24"/>
          <w:lang w:val="en-US"/>
        </w:rPr>
        <w:t>only one election (1994)</w:t>
      </w:r>
      <w:r w:rsidR="00161C1B" w:rsidRPr="00161C1B">
        <w:rPr>
          <w:rFonts w:ascii="Times New Roman" w:hAnsi="Times New Roman" w:cs="Times New Roman"/>
          <w:sz w:val="24"/>
          <w:szCs w:val="24"/>
          <w:lang w:val="en-US"/>
        </w:rPr>
        <w:t xml:space="preserve">, the last two (2009 and 2012) can be classified both as authentic “earthquake” elections (Pedersen, 1979). To this the judicial dissolution of HB´s political sister (i.e. </w:t>
      </w:r>
      <w:r>
        <w:rPr>
          <w:rFonts w:ascii="Times New Roman" w:hAnsi="Times New Roman" w:cs="Times New Roman"/>
          <w:sz w:val="24"/>
          <w:szCs w:val="24"/>
          <w:lang w:val="en-US"/>
        </w:rPr>
        <w:t>Communist Party of the Basque Territory (</w:t>
      </w:r>
      <w:r w:rsidR="00161C1B" w:rsidRPr="00161C1B">
        <w:rPr>
          <w:rFonts w:ascii="Times New Roman" w:hAnsi="Times New Roman" w:cs="Times New Roman"/>
          <w:sz w:val="24"/>
          <w:szCs w:val="24"/>
          <w:lang w:val="en-US"/>
        </w:rPr>
        <w:t>E</w:t>
      </w:r>
      <w:r>
        <w:rPr>
          <w:rFonts w:ascii="Times New Roman" w:hAnsi="Times New Roman" w:cs="Times New Roman"/>
          <w:sz w:val="24"/>
          <w:szCs w:val="24"/>
          <w:lang w:val="en-US"/>
        </w:rPr>
        <w:t>H</w:t>
      </w:r>
      <w:r w:rsidR="00161C1B" w:rsidRPr="00161C1B">
        <w:rPr>
          <w:rFonts w:ascii="Times New Roman" w:hAnsi="Times New Roman" w:cs="Times New Roman"/>
          <w:sz w:val="24"/>
          <w:szCs w:val="24"/>
          <w:lang w:val="en-US"/>
        </w:rPr>
        <w:t>AK</w:t>
      </w:r>
      <w:r>
        <w:rPr>
          <w:rFonts w:ascii="Times New Roman" w:hAnsi="Times New Roman" w:cs="Times New Roman"/>
          <w:sz w:val="24"/>
          <w:szCs w:val="24"/>
          <w:lang w:val="en-US"/>
        </w:rPr>
        <w:t>)</w:t>
      </w:r>
      <w:r w:rsidR="00161C1B" w:rsidRPr="00161C1B">
        <w:rPr>
          <w:rFonts w:ascii="Times New Roman" w:hAnsi="Times New Roman" w:cs="Times New Roman"/>
          <w:sz w:val="24"/>
          <w:szCs w:val="24"/>
          <w:lang w:val="en-US"/>
        </w:rPr>
        <w:t>)</w:t>
      </w:r>
      <w:r w:rsidR="00161C1B" w:rsidRPr="00161C1B">
        <w:rPr>
          <w:rStyle w:val="FootnoteReference"/>
          <w:rFonts w:ascii="Times New Roman" w:hAnsi="Times New Roman" w:cs="Times New Roman"/>
          <w:sz w:val="24"/>
          <w:szCs w:val="24"/>
          <w:lang w:val="en-US"/>
        </w:rPr>
        <w:footnoteReference w:id="16"/>
      </w:r>
      <w:r w:rsidR="00161C1B" w:rsidRPr="00161C1B">
        <w:rPr>
          <w:rFonts w:ascii="Times New Roman" w:hAnsi="Times New Roman" w:cs="Times New Roman"/>
          <w:sz w:val="24"/>
          <w:szCs w:val="24"/>
          <w:lang w:val="en-US"/>
        </w:rPr>
        <w:t xml:space="preserve"> before the 2009 contest and its reinstatement (in the form of EH </w:t>
      </w:r>
      <w:proofErr w:type="spellStart"/>
      <w:r w:rsidR="00161C1B" w:rsidRPr="00161C1B">
        <w:rPr>
          <w:rFonts w:ascii="Times New Roman" w:hAnsi="Times New Roman" w:cs="Times New Roman"/>
          <w:sz w:val="24"/>
          <w:szCs w:val="24"/>
          <w:lang w:val="en-US"/>
        </w:rPr>
        <w:t>Bildu</w:t>
      </w:r>
      <w:proofErr w:type="spellEnd"/>
      <w:r w:rsidR="00161C1B" w:rsidRPr="00161C1B">
        <w:rPr>
          <w:rFonts w:ascii="Times New Roman" w:hAnsi="Times New Roman" w:cs="Times New Roman"/>
          <w:sz w:val="24"/>
          <w:szCs w:val="24"/>
          <w:lang w:val="en-US"/>
        </w:rPr>
        <w:t>) in 2011 can be considered as the major contribution: 12.4 percent in 2009, and up to 15.3 percent in 2012.</w:t>
      </w:r>
      <w:r w:rsidR="00161C1B" w:rsidRPr="00161C1B">
        <w:rPr>
          <w:rStyle w:val="FootnoteReference"/>
          <w:rFonts w:ascii="Times New Roman" w:hAnsi="Times New Roman" w:cs="Times New Roman"/>
          <w:sz w:val="24"/>
          <w:szCs w:val="24"/>
          <w:lang w:val="en-US"/>
        </w:rPr>
        <w:footnoteReference w:id="17"/>
      </w:r>
      <w:r w:rsidR="00161C1B" w:rsidRPr="00161C1B">
        <w:rPr>
          <w:rFonts w:ascii="Times New Roman" w:hAnsi="Times New Roman" w:cs="Times New Roman"/>
          <w:sz w:val="24"/>
          <w:szCs w:val="24"/>
          <w:lang w:val="en-US"/>
        </w:rPr>
        <w:t xml:space="preserve"> In other words, up to one third of the TEV observed in both 2009 and 2012 can be explained by just </w:t>
      </w:r>
      <w:r>
        <w:rPr>
          <w:rFonts w:ascii="Times New Roman" w:hAnsi="Times New Roman" w:cs="Times New Roman"/>
          <w:sz w:val="24"/>
          <w:szCs w:val="24"/>
          <w:lang w:val="en-US"/>
        </w:rPr>
        <w:t xml:space="preserve">two </w:t>
      </w:r>
      <w:r w:rsidR="00161C1B" w:rsidRPr="00161C1B">
        <w:rPr>
          <w:rFonts w:ascii="Times New Roman" w:hAnsi="Times New Roman" w:cs="Times New Roman"/>
          <w:sz w:val="24"/>
          <w:szCs w:val="24"/>
          <w:lang w:val="en-US"/>
        </w:rPr>
        <w:t>decision</w:t>
      </w:r>
      <w:r w:rsidR="00925BC1">
        <w:rPr>
          <w:rFonts w:ascii="Times New Roman" w:hAnsi="Times New Roman" w:cs="Times New Roman"/>
          <w:sz w:val="24"/>
          <w:szCs w:val="24"/>
          <w:lang w:val="en-US"/>
        </w:rPr>
        <w:t>s</w:t>
      </w:r>
      <w:r w:rsidR="00161C1B" w:rsidRPr="00161C1B">
        <w:rPr>
          <w:rFonts w:ascii="Times New Roman" w:hAnsi="Times New Roman" w:cs="Times New Roman"/>
          <w:sz w:val="24"/>
          <w:szCs w:val="24"/>
          <w:lang w:val="en-US"/>
        </w:rPr>
        <w:t xml:space="preserve">: respectively, the banning and </w:t>
      </w:r>
      <w:r>
        <w:rPr>
          <w:rFonts w:ascii="Times New Roman" w:hAnsi="Times New Roman" w:cs="Times New Roman"/>
          <w:sz w:val="24"/>
          <w:szCs w:val="24"/>
          <w:lang w:val="en-US"/>
        </w:rPr>
        <w:t xml:space="preserve">legalization </w:t>
      </w:r>
      <w:r w:rsidR="00161C1B" w:rsidRPr="00161C1B">
        <w:rPr>
          <w:rFonts w:ascii="Times New Roman" w:hAnsi="Times New Roman" w:cs="Times New Roman"/>
          <w:sz w:val="24"/>
          <w:szCs w:val="24"/>
          <w:lang w:val="en-US"/>
        </w:rPr>
        <w:t xml:space="preserve">of radical </w:t>
      </w:r>
      <w:r>
        <w:rPr>
          <w:rFonts w:ascii="Times New Roman" w:hAnsi="Times New Roman" w:cs="Times New Roman"/>
          <w:sz w:val="24"/>
          <w:szCs w:val="24"/>
          <w:lang w:val="en-US"/>
        </w:rPr>
        <w:t>nationalist left candidates</w:t>
      </w:r>
      <w:r w:rsidR="00161C1B" w:rsidRPr="00161C1B">
        <w:rPr>
          <w:rFonts w:ascii="Times New Roman" w:hAnsi="Times New Roman" w:cs="Times New Roman"/>
          <w:sz w:val="24"/>
          <w:szCs w:val="24"/>
          <w:lang w:val="en-US"/>
        </w:rPr>
        <w:t>.</w:t>
      </w:r>
    </w:p>
    <w:p w:rsidR="00EA2DE1" w:rsidRDefault="00EA2DE1" w:rsidP="00895231">
      <w:pPr>
        <w:spacing w:after="0" w:line="360" w:lineRule="auto"/>
        <w:jc w:val="both"/>
        <w:rPr>
          <w:rFonts w:ascii="Times New Roman" w:hAnsi="Times New Roman" w:cs="Times New Roman"/>
          <w:sz w:val="24"/>
          <w:szCs w:val="24"/>
          <w:lang w:val="en-US"/>
        </w:rPr>
      </w:pPr>
    </w:p>
    <w:p w:rsidR="00161C1B" w:rsidRPr="00161C1B" w:rsidRDefault="00161C1B" w:rsidP="00895231">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This is also clearly visible when we look at the number of spoiled ballots </w:t>
      </w:r>
      <w:r w:rsidR="00895231">
        <w:rPr>
          <w:rFonts w:ascii="Times New Roman" w:hAnsi="Times New Roman" w:cs="Times New Roman"/>
          <w:sz w:val="24"/>
          <w:szCs w:val="24"/>
          <w:lang w:val="en-US"/>
        </w:rPr>
        <w:t xml:space="preserve">in </w:t>
      </w:r>
      <w:r w:rsidRPr="00161C1B">
        <w:rPr>
          <w:rFonts w:ascii="Times New Roman" w:hAnsi="Times New Roman" w:cs="Times New Roman"/>
          <w:sz w:val="24"/>
          <w:szCs w:val="24"/>
          <w:lang w:val="en-US"/>
        </w:rPr>
        <w:t xml:space="preserve">the 2009 elections. Its number increased </w:t>
      </w:r>
      <w:r w:rsidR="00925BC1">
        <w:rPr>
          <w:rFonts w:ascii="Times New Roman" w:hAnsi="Times New Roman" w:cs="Times New Roman"/>
          <w:sz w:val="24"/>
          <w:szCs w:val="24"/>
          <w:lang w:val="en-US"/>
        </w:rPr>
        <w:t>by</w:t>
      </w:r>
      <w:r w:rsidRPr="00161C1B">
        <w:rPr>
          <w:rFonts w:ascii="Times New Roman" w:hAnsi="Times New Roman" w:cs="Times New Roman"/>
          <w:sz w:val="24"/>
          <w:szCs w:val="24"/>
          <w:lang w:val="en-US"/>
        </w:rPr>
        <w:t xml:space="preserve"> almost 9 points in comparison with the previous elections, certainly exceeding the average percentage of spoiled ballots until that moment (0.5). In this context, the decision of D3M to ask their supporters to </w:t>
      </w:r>
      <w:r w:rsidR="00A2338B">
        <w:rPr>
          <w:rFonts w:ascii="Times New Roman" w:hAnsi="Times New Roman" w:cs="Times New Roman"/>
          <w:sz w:val="24"/>
          <w:szCs w:val="24"/>
          <w:lang w:val="en-US"/>
        </w:rPr>
        <w:t xml:space="preserve">vote with an ‘unofficial ballot paper designed by the party </w:t>
      </w:r>
      <w:r w:rsidRPr="00161C1B">
        <w:rPr>
          <w:rFonts w:ascii="Times New Roman" w:hAnsi="Times New Roman" w:cs="Times New Roman"/>
          <w:sz w:val="24"/>
          <w:szCs w:val="24"/>
          <w:lang w:val="en-US"/>
        </w:rPr>
        <w:t xml:space="preserve">(Europa Press, 2009) </w:t>
      </w:r>
      <w:r w:rsidR="00895231">
        <w:rPr>
          <w:rFonts w:ascii="Times New Roman" w:hAnsi="Times New Roman" w:cs="Times New Roman"/>
          <w:sz w:val="24"/>
          <w:szCs w:val="24"/>
          <w:lang w:val="en-US"/>
        </w:rPr>
        <w:t xml:space="preserve">appears to have </w:t>
      </w:r>
      <w:r w:rsidRPr="00161C1B">
        <w:rPr>
          <w:rFonts w:ascii="Times New Roman" w:hAnsi="Times New Roman" w:cs="Times New Roman"/>
          <w:sz w:val="24"/>
          <w:szCs w:val="24"/>
          <w:lang w:val="en-US"/>
        </w:rPr>
        <w:t>had an enormous impact.</w:t>
      </w:r>
    </w:p>
    <w:p w:rsidR="00EA2DE1" w:rsidRDefault="00EA2DE1" w:rsidP="00895231">
      <w:pPr>
        <w:spacing w:after="0" w:line="360" w:lineRule="auto"/>
        <w:jc w:val="both"/>
        <w:rPr>
          <w:rFonts w:ascii="Times New Roman" w:hAnsi="Times New Roman" w:cs="Times New Roman"/>
          <w:sz w:val="24"/>
          <w:szCs w:val="24"/>
          <w:lang w:val="en-US"/>
        </w:rPr>
      </w:pPr>
    </w:p>
    <w:p w:rsidR="00161C1B" w:rsidRPr="00161C1B" w:rsidRDefault="00895231" w:rsidP="0089523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161C1B" w:rsidRPr="00161C1B">
        <w:rPr>
          <w:rFonts w:ascii="Times New Roman" w:hAnsi="Times New Roman" w:cs="Times New Roman"/>
          <w:sz w:val="24"/>
          <w:szCs w:val="24"/>
          <w:lang w:val="en-US"/>
        </w:rPr>
        <w:t xml:space="preserve">anning Basque radical nationalist left parties not only had an impact at the electoral level. It also introduced an important change in the structure of competition by allowing non-nationalist </w:t>
      </w:r>
      <w:proofErr w:type="gramStart"/>
      <w:r w:rsidR="00161C1B" w:rsidRPr="00161C1B">
        <w:rPr>
          <w:rFonts w:ascii="Times New Roman" w:hAnsi="Times New Roman" w:cs="Times New Roman"/>
          <w:sz w:val="24"/>
          <w:szCs w:val="24"/>
          <w:lang w:val="en-US"/>
        </w:rPr>
        <w:t xml:space="preserve">parties </w:t>
      </w:r>
      <w:r>
        <w:rPr>
          <w:rFonts w:ascii="Times New Roman" w:hAnsi="Times New Roman" w:cs="Times New Roman"/>
          <w:sz w:val="24"/>
          <w:szCs w:val="24"/>
          <w:lang w:val="en-US"/>
        </w:rPr>
        <w:t xml:space="preserve"> </w:t>
      </w:r>
      <w:r w:rsidR="00161C1B" w:rsidRPr="00161C1B">
        <w:rPr>
          <w:rFonts w:ascii="Times New Roman" w:hAnsi="Times New Roman" w:cs="Times New Roman"/>
          <w:sz w:val="24"/>
          <w:szCs w:val="24"/>
          <w:lang w:val="en-US"/>
        </w:rPr>
        <w:lastRenderedPageBreak/>
        <w:t>to</w:t>
      </w:r>
      <w:proofErr w:type="gramEnd"/>
      <w:r w:rsidR="00161C1B" w:rsidRPr="00161C1B">
        <w:rPr>
          <w:rFonts w:ascii="Times New Roman" w:hAnsi="Times New Roman" w:cs="Times New Roman"/>
          <w:sz w:val="24"/>
          <w:szCs w:val="24"/>
          <w:lang w:val="en-US"/>
        </w:rPr>
        <w:t xml:space="preserve"> form a minority government headed by the </w:t>
      </w:r>
      <w:r>
        <w:rPr>
          <w:rFonts w:ascii="Times New Roman" w:hAnsi="Times New Roman" w:cs="Times New Roman"/>
          <w:sz w:val="24"/>
          <w:szCs w:val="24"/>
          <w:lang w:val="en-US"/>
        </w:rPr>
        <w:t xml:space="preserve">Basque Socialist Party (PSE) </w:t>
      </w:r>
      <w:r w:rsidR="00161C1B" w:rsidRPr="00161C1B">
        <w:rPr>
          <w:rFonts w:ascii="Times New Roman" w:hAnsi="Times New Roman" w:cs="Times New Roman"/>
          <w:sz w:val="24"/>
          <w:szCs w:val="24"/>
          <w:lang w:val="en-US"/>
        </w:rPr>
        <w:t xml:space="preserve">with the legislative support of the </w:t>
      </w:r>
      <w:r>
        <w:rPr>
          <w:rFonts w:ascii="Times New Roman" w:hAnsi="Times New Roman" w:cs="Times New Roman"/>
          <w:sz w:val="24"/>
          <w:szCs w:val="24"/>
          <w:lang w:val="en-US"/>
        </w:rPr>
        <w:t>Popular Party (PP)</w:t>
      </w:r>
      <w:r w:rsidR="00161C1B" w:rsidRPr="00161C1B">
        <w:rPr>
          <w:rFonts w:ascii="Times New Roman" w:hAnsi="Times New Roman" w:cs="Times New Roman"/>
          <w:sz w:val="24"/>
          <w:szCs w:val="24"/>
          <w:lang w:val="en-US"/>
        </w:rPr>
        <w:t xml:space="preserve">. Indeed, the </w:t>
      </w:r>
      <w:r>
        <w:rPr>
          <w:rFonts w:ascii="Times New Roman" w:hAnsi="Times New Roman" w:cs="Times New Roman"/>
          <w:sz w:val="24"/>
          <w:szCs w:val="24"/>
          <w:lang w:val="en-US"/>
        </w:rPr>
        <w:t xml:space="preserve">proscription </w:t>
      </w:r>
      <w:r w:rsidR="00161C1B" w:rsidRPr="00161C1B">
        <w:rPr>
          <w:rFonts w:ascii="Times New Roman" w:hAnsi="Times New Roman" w:cs="Times New Roman"/>
          <w:sz w:val="24"/>
          <w:szCs w:val="24"/>
          <w:lang w:val="en-US"/>
        </w:rPr>
        <w:t xml:space="preserve">of HB-EAHK in 2009 clearly “opened the way to an alternative majority” (Casal </w:t>
      </w:r>
      <w:proofErr w:type="spellStart"/>
      <w:r w:rsidR="00161C1B" w:rsidRPr="00161C1B">
        <w:rPr>
          <w:rFonts w:ascii="Times New Roman" w:hAnsi="Times New Roman" w:cs="Times New Roman"/>
          <w:sz w:val="24"/>
          <w:szCs w:val="24"/>
          <w:lang w:val="en-US"/>
        </w:rPr>
        <w:t>Bértoa</w:t>
      </w:r>
      <w:proofErr w:type="spellEnd"/>
      <w:r w:rsidR="00161C1B" w:rsidRPr="00161C1B">
        <w:rPr>
          <w:rFonts w:ascii="Times New Roman" w:hAnsi="Times New Roman" w:cs="Times New Roman"/>
          <w:sz w:val="24"/>
          <w:szCs w:val="24"/>
          <w:lang w:val="en-US"/>
        </w:rPr>
        <w:t xml:space="preserve"> et al. 2014b: 17), even when the PNV increased its electoral support, obtaining the highest amount of votes since it split with EA in 1986. </w:t>
      </w:r>
      <w:r>
        <w:rPr>
          <w:rFonts w:ascii="Times New Roman" w:hAnsi="Times New Roman" w:cs="Times New Roman"/>
          <w:sz w:val="24"/>
          <w:szCs w:val="24"/>
          <w:lang w:val="en-US"/>
        </w:rPr>
        <w:t>T</w:t>
      </w:r>
      <w:r w:rsidR="00161C1B" w:rsidRPr="00161C1B">
        <w:rPr>
          <w:rFonts w:ascii="Times New Roman" w:hAnsi="Times New Roman" w:cs="Times New Roman"/>
          <w:sz w:val="24"/>
          <w:szCs w:val="24"/>
          <w:lang w:val="en-US"/>
        </w:rPr>
        <w:t xml:space="preserve">he reappearance of the radical nationalist left in 2012 </w:t>
      </w:r>
      <w:r w:rsidR="00A4783D">
        <w:rPr>
          <w:rFonts w:ascii="Times New Roman" w:hAnsi="Times New Roman" w:cs="Times New Roman"/>
          <w:sz w:val="24"/>
          <w:szCs w:val="24"/>
          <w:lang w:val="en-US"/>
        </w:rPr>
        <w:t xml:space="preserve">prevented </w:t>
      </w:r>
      <w:r w:rsidR="00161C1B" w:rsidRPr="00161C1B">
        <w:rPr>
          <w:rFonts w:ascii="Times New Roman" w:hAnsi="Times New Roman" w:cs="Times New Roman"/>
          <w:sz w:val="24"/>
          <w:szCs w:val="24"/>
          <w:lang w:val="en-US"/>
        </w:rPr>
        <w:t xml:space="preserve">the repetition of the non-nationalist government (this time perhaps also with the support of </w:t>
      </w:r>
      <w:r w:rsidR="00A4783D">
        <w:rPr>
          <w:rFonts w:ascii="Times New Roman" w:hAnsi="Times New Roman" w:cs="Times New Roman"/>
          <w:sz w:val="24"/>
          <w:szCs w:val="24"/>
          <w:lang w:val="en-US"/>
        </w:rPr>
        <w:t>Union, Progress and Democracy (</w:t>
      </w:r>
      <w:proofErr w:type="spellStart"/>
      <w:r w:rsidR="00161C1B" w:rsidRPr="00161C1B">
        <w:rPr>
          <w:rFonts w:ascii="Times New Roman" w:hAnsi="Times New Roman" w:cs="Times New Roman"/>
          <w:sz w:val="24"/>
          <w:szCs w:val="24"/>
          <w:lang w:val="en-US"/>
        </w:rPr>
        <w:t>UPyD</w:t>
      </w:r>
      <w:proofErr w:type="spellEnd"/>
      <w:r w:rsidR="00161C1B" w:rsidRPr="00161C1B">
        <w:rPr>
          <w:rFonts w:ascii="Times New Roman" w:hAnsi="Times New Roman" w:cs="Times New Roman"/>
          <w:sz w:val="24"/>
          <w:szCs w:val="24"/>
          <w:lang w:val="en-US"/>
        </w:rPr>
        <w:t>)</w:t>
      </w:r>
      <w:r w:rsidR="00A4783D">
        <w:rPr>
          <w:rFonts w:ascii="Times New Roman" w:hAnsi="Times New Roman" w:cs="Times New Roman"/>
          <w:sz w:val="24"/>
          <w:szCs w:val="24"/>
          <w:lang w:val="en-US"/>
        </w:rPr>
        <w:t>)</w:t>
      </w:r>
      <w:r w:rsidR="00161C1B" w:rsidRPr="00161C1B">
        <w:rPr>
          <w:rFonts w:ascii="Times New Roman" w:hAnsi="Times New Roman" w:cs="Times New Roman"/>
          <w:sz w:val="24"/>
          <w:szCs w:val="24"/>
          <w:lang w:val="en-US"/>
        </w:rPr>
        <w:t xml:space="preserve">. The result was a PNV minority cabinet, the first one since 1984. All in all, and using </w:t>
      </w:r>
      <w:proofErr w:type="spellStart"/>
      <w:r w:rsidR="00161C1B" w:rsidRPr="00161C1B">
        <w:rPr>
          <w:rFonts w:ascii="Times New Roman" w:hAnsi="Times New Roman" w:cs="Times New Roman"/>
          <w:sz w:val="24"/>
          <w:szCs w:val="24"/>
          <w:lang w:val="en-US"/>
        </w:rPr>
        <w:t>Mair´s</w:t>
      </w:r>
      <w:proofErr w:type="spellEnd"/>
      <w:r w:rsidR="00161C1B" w:rsidRPr="00161C1B">
        <w:rPr>
          <w:rFonts w:ascii="Times New Roman" w:hAnsi="Times New Roman" w:cs="Times New Roman"/>
          <w:sz w:val="24"/>
          <w:szCs w:val="24"/>
          <w:lang w:val="en-US"/>
        </w:rPr>
        <w:t xml:space="preserve"> (1997) theoretical framework, the structure of competition changed after 2009 from one characterized by partial alternations, rather familiar coalition formulae but open access</w:t>
      </w:r>
      <w:r w:rsidR="00A4783D">
        <w:rPr>
          <w:rFonts w:ascii="Times New Roman" w:hAnsi="Times New Roman" w:cs="Times New Roman"/>
          <w:sz w:val="24"/>
          <w:szCs w:val="24"/>
          <w:lang w:val="en-US"/>
        </w:rPr>
        <w:t>,</w:t>
      </w:r>
      <w:r w:rsidR="00161C1B" w:rsidRPr="00161C1B">
        <w:rPr>
          <w:rFonts w:ascii="Times New Roman" w:hAnsi="Times New Roman" w:cs="Times New Roman"/>
          <w:sz w:val="24"/>
          <w:szCs w:val="24"/>
          <w:lang w:val="en-US"/>
        </w:rPr>
        <w:t xml:space="preserve"> to one represented by total alternations, innovative (minority mono-</w:t>
      </w:r>
      <w:proofErr w:type="spellStart"/>
      <w:r w:rsidR="00161C1B" w:rsidRPr="00161C1B">
        <w:rPr>
          <w:rFonts w:ascii="Times New Roman" w:hAnsi="Times New Roman" w:cs="Times New Roman"/>
          <w:sz w:val="24"/>
          <w:szCs w:val="24"/>
          <w:lang w:val="en-US"/>
        </w:rPr>
        <w:t>colour</w:t>
      </w:r>
      <w:proofErr w:type="spellEnd"/>
      <w:r w:rsidR="00161C1B" w:rsidRPr="00161C1B">
        <w:rPr>
          <w:rFonts w:ascii="Times New Roman" w:hAnsi="Times New Roman" w:cs="Times New Roman"/>
          <w:sz w:val="24"/>
          <w:szCs w:val="24"/>
          <w:lang w:val="en-US"/>
        </w:rPr>
        <w:t xml:space="preserve"> government) formulae</w:t>
      </w:r>
      <w:r w:rsidR="00161C1B" w:rsidRPr="00161C1B">
        <w:rPr>
          <w:rStyle w:val="FootnoteReference"/>
          <w:rFonts w:ascii="Times New Roman" w:hAnsi="Times New Roman" w:cs="Times New Roman"/>
          <w:sz w:val="24"/>
          <w:szCs w:val="24"/>
          <w:lang w:val="en-US"/>
        </w:rPr>
        <w:footnoteReference w:id="18"/>
      </w:r>
      <w:r w:rsidR="00161C1B" w:rsidRPr="00161C1B">
        <w:rPr>
          <w:rFonts w:ascii="Times New Roman" w:hAnsi="Times New Roman" w:cs="Times New Roman"/>
          <w:sz w:val="24"/>
          <w:szCs w:val="24"/>
          <w:lang w:val="en-US"/>
        </w:rPr>
        <w:t xml:space="preserve"> and closed access (only PSE or PNV).</w:t>
      </w:r>
    </w:p>
    <w:p w:rsidR="00EA2DE1" w:rsidRDefault="00EA2DE1" w:rsidP="00895231">
      <w:pPr>
        <w:spacing w:after="0" w:line="360" w:lineRule="auto"/>
        <w:jc w:val="both"/>
        <w:rPr>
          <w:rFonts w:ascii="Times New Roman" w:hAnsi="Times New Roman" w:cs="Times New Roman"/>
          <w:sz w:val="24"/>
          <w:szCs w:val="24"/>
          <w:lang w:val="en-US"/>
        </w:rPr>
      </w:pPr>
    </w:p>
    <w:p w:rsidR="00161C1B" w:rsidRPr="00161C1B" w:rsidRDefault="00161C1B" w:rsidP="00895231">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Perhaps where the impact of party bans (or lack of them) is less clear is in terms of the Basque party system format</w:t>
      </w:r>
      <w:r w:rsidR="00A4783D">
        <w:rPr>
          <w:rFonts w:ascii="Times New Roman" w:hAnsi="Times New Roman" w:cs="Times New Roman"/>
          <w:sz w:val="24"/>
          <w:szCs w:val="24"/>
          <w:lang w:val="en-US"/>
        </w:rPr>
        <w:t>. This is</w:t>
      </w:r>
      <w:r w:rsidRPr="00161C1B">
        <w:rPr>
          <w:rFonts w:ascii="Times New Roman" w:hAnsi="Times New Roman" w:cs="Times New Roman"/>
          <w:sz w:val="24"/>
          <w:szCs w:val="24"/>
          <w:lang w:val="en-US"/>
        </w:rPr>
        <w:t xml:space="preserve"> because even if both the ENEP and the EN</w:t>
      </w:r>
      <w:r w:rsidR="00847FB9">
        <w:rPr>
          <w:rFonts w:ascii="Times New Roman" w:hAnsi="Times New Roman" w:cs="Times New Roman"/>
          <w:sz w:val="24"/>
          <w:szCs w:val="24"/>
          <w:lang w:val="en-US"/>
        </w:rPr>
        <w:t>P</w:t>
      </w:r>
      <w:r w:rsidRPr="00161C1B">
        <w:rPr>
          <w:rFonts w:ascii="Times New Roman" w:hAnsi="Times New Roman" w:cs="Times New Roman"/>
          <w:sz w:val="24"/>
          <w:szCs w:val="24"/>
          <w:lang w:val="en-US"/>
        </w:rPr>
        <w:t xml:space="preserve">P decreased and increased </w:t>
      </w:r>
      <w:r w:rsidR="00A4783D">
        <w:rPr>
          <w:rFonts w:ascii="Times New Roman" w:hAnsi="Times New Roman" w:cs="Times New Roman"/>
          <w:sz w:val="24"/>
          <w:szCs w:val="24"/>
          <w:lang w:val="en-US"/>
        </w:rPr>
        <w:t>depending on ban decisions</w:t>
      </w:r>
      <w:r w:rsidRPr="00161C1B">
        <w:rPr>
          <w:rFonts w:ascii="Times New Roman" w:hAnsi="Times New Roman" w:cs="Times New Roman"/>
          <w:sz w:val="24"/>
          <w:szCs w:val="24"/>
          <w:lang w:val="en-US"/>
        </w:rPr>
        <w:t xml:space="preserve"> such changes (just 0.5 points) were not as significant as in 1986/2001 (more than 1.5 points), when the “moderate” nationalist camp split/merged.</w:t>
      </w:r>
      <w:r w:rsidRPr="00161C1B">
        <w:rPr>
          <w:rStyle w:val="FootnoteReference"/>
          <w:rFonts w:ascii="Times New Roman" w:hAnsi="Times New Roman" w:cs="Times New Roman"/>
          <w:sz w:val="24"/>
          <w:szCs w:val="24"/>
          <w:lang w:val="en-US"/>
        </w:rPr>
        <w:footnoteReference w:id="19"/>
      </w:r>
      <w:r w:rsidR="00A4783D">
        <w:rPr>
          <w:rFonts w:ascii="Times New Roman" w:hAnsi="Times New Roman" w:cs="Times New Roman"/>
          <w:sz w:val="24"/>
          <w:szCs w:val="24"/>
          <w:lang w:val="en-US"/>
        </w:rPr>
        <w:t xml:space="preserve"> Nevertheless, </w:t>
      </w:r>
      <w:r w:rsidRPr="00161C1B">
        <w:rPr>
          <w:rFonts w:ascii="Times New Roman" w:hAnsi="Times New Roman" w:cs="Times New Roman"/>
          <w:sz w:val="24"/>
          <w:szCs w:val="24"/>
          <w:lang w:val="en-US"/>
        </w:rPr>
        <w:t xml:space="preserve">it is important to note that the Basque party system was never closer to a pure three-party system (PNV, PSE and PP) than in 2009, and this despite the process of party fission experimented in the months leading to the electoral contest: </w:t>
      </w:r>
      <w:r w:rsidR="00A4783D">
        <w:rPr>
          <w:rFonts w:ascii="Times New Roman" w:hAnsi="Times New Roman" w:cs="Times New Roman"/>
          <w:sz w:val="24"/>
          <w:szCs w:val="24"/>
          <w:lang w:val="en-US"/>
        </w:rPr>
        <w:t>O</w:t>
      </w:r>
      <w:r w:rsidRPr="00161C1B">
        <w:rPr>
          <w:rFonts w:ascii="Times New Roman" w:hAnsi="Times New Roman" w:cs="Times New Roman"/>
          <w:sz w:val="24"/>
          <w:szCs w:val="24"/>
          <w:lang w:val="en-US"/>
        </w:rPr>
        <w:t>n the one hand, EA decided to end its electoral collaboration with the PNV; on the other, Rosa Díez – one of PSOE´s leader in the Basque Country – left the formation and founded a new party (</w:t>
      </w:r>
      <w:proofErr w:type="spellStart"/>
      <w:r w:rsidRPr="00161C1B">
        <w:rPr>
          <w:rFonts w:ascii="Times New Roman" w:hAnsi="Times New Roman" w:cs="Times New Roman"/>
          <w:sz w:val="24"/>
          <w:szCs w:val="24"/>
          <w:lang w:val="en-US"/>
        </w:rPr>
        <w:t>UPyD</w:t>
      </w:r>
      <w:proofErr w:type="spellEnd"/>
      <w:r w:rsidRPr="00161C1B">
        <w:rPr>
          <w:rFonts w:ascii="Times New Roman" w:hAnsi="Times New Roman" w:cs="Times New Roman"/>
          <w:sz w:val="24"/>
          <w:szCs w:val="24"/>
          <w:lang w:val="en-US"/>
        </w:rPr>
        <w:t xml:space="preserve">). Conversely, the Basque party system returned to </w:t>
      </w:r>
      <w:proofErr w:type="gramStart"/>
      <w:r w:rsidRPr="00161C1B">
        <w:rPr>
          <w:rFonts w:ascii="Times New Roman" w:hAnsi="Times New Roman" w:cs="Times New Roman"/>
          <w:sz w:val="24"/>
          <w:szCs w:val="24"/>
          <w:lang w:val="en-US"/>
        </w:rPr>
        <w:t>its</w:t>
      </w:r>
      <w:proofErr w:type="gramEnd"/>
      <w:r w:rsidRPr="00161C1B">
        <w:rPr>
          <w:rFonts w:ascii="Times New Roman" w:hAnsi="Times New Roman" w:cs="Times New Roman"/>
          <w:sz w:val="24"/>
          <w:szCs w:val="24"/>
          <w:lang w:val="en-US"/>
        </w:rPr>
        <w:t xml:space="preserve"> almost “limited pluralist” (ENPP closer to 4) character – to use </w:t>
      </w:r>
      <w:proofErr w:type="spellStart"/>
      <w:r w:rsidRPr="00161C1B">
        <w:rPr>
          <w:rFonts w:ascii="Times New Roman" w:hAnsi="Times New Roman" w:cs="Times New Roman"/>
          <w:sz w:val="24"/>
          <w:szCs w:val="24"/>
          <w:lang w:val="en-US"/>
        </w:rPr>
        <w:t>Sartori´s</w:t>
      </w:r>
      <w:proofErr w:type="spellEnd"/>
      <w:r w:rsidRPr="00161C1B">
        <w:rPr>
          <w:rFonts w:ascii="Times New Roman" w:hAnsi="Times New Roman" w:cs="Times New Roman"/>
          <w:sz w:val="24"/>
          <w:szCs w:val="24"/>
          <w:lang w:val="en-US"/>
        </w:rPr>
        <w:t xml:space="preserve"> terms – in 2012 with the reappearance of the radical nationalist left</w:t>
      </w:r>
      <w:r w:rsidR="00A4783D">
        <w:rPr>
          <w:rFonts w:ascii="Times New Roman" w:hAnsi="Times New Roman" w:cs="Times New Roman"/>
          <w:sz w:val="24"/>
          <w:szCs w:val="24"/>
          <w:lang w:val="en-US"/>
        </w:rPr>
        <w:t xml:space="preserve">. This was despite </w:t>
      </w:r>
      <w:r w:rsidRPr="00161C1B">
        <w:rPr>
          <w:rFonts w:ascii="Times New Roman" w:hAnsi="Times New Roman" w:cs="Times New Roman"/>
          <w:sz w:val="24"/>
          <w:szCs w:val="24"/>
          <w:lang w:val="en-US"/>
        </w:rPr>
        <w:t xml:space="preserve">the process of party fusion experienced at the beginning of that year: </w:t>
      </w:r>
      <w:r w:rsidR="00A4783D">
        <w:rPr>
          <w:rFonts w:ascii="Times New Roman" w:hAnsi="Times New Roman" w:cs="Times New Roman"/>
          <w:sz w:val="24"/>
          <w:szCs w:val="24"/>
          <w:lang w:val="en-US"/>
        </w:rPr>
        <w:t>A</w:t>
      </w:r>
      <w:r w:rsidRPr="00161C1B">
        <w:rPr>
          <w:rFonts w:ascii="Times New Roman" w:hAnsi="Times New Roman" w:cs="Times New Roman"/>
          <w:sz w:val="24"/>
          <w:szCs w:val="24"/>
          <w:lang w:val="en-US"/>
        </w:rPr>
        <w:t xml:space="preserve">s mentioned, both EA and </w:t>
      </w:r>
      <w:proofErr w:type="spellStart"/>
      <w:r w:rsidRPr="00161C1B">
        <w:rPr>
          <w:rFonts w:ascii="Times New Roman" w:hAnsi="Times New Roman" w:cs="Times New Roman"/>
          <w:sz w:val="24"/>
          <w:szCs w:val="24"/>
          <w:lang w:val="en-US"/>
        </w:rPr>
        <w:t>Aralar</w:t>
      </w:r>
      <w:proofErr w:type="spellEnd"/>
      <w:r w:rsidRPr="00161C1B">
        <w:rPr>
          <w:rFonts w:ascii="Times New Roman" w:hAnsi="Times New Roman" w:cs="Times New Roman"/>
          <w:sz w:val="24"/>
          <w:szCs w:val="24"/>
          <w:lang w:val="en-US"/>
        </w:rPr>
        <w:t xml:space="preserve"> merged into </w:t>
      </w:r>
      <w:proofErr w:type="spellStart"/>
      <w:r w:rsidRPr="00161C1B">
        <w:rPr>
          <w:rFonts w:ascii="Times New Roman" w:hAnsi="Times New Roman" w:cs="Times New Roman"/>
          <w:sz w:val="24"/>
          <w:szCs w:val="24"/>
          <w:lang w:val="en-US"/>
        </w:rPr>
        <w:t>Sortu</w:t>
      </w:r>
      <w:proofErr w:type="spellEnd"/>
      <w:r w:rsidRPr="00161C1B">
        <w:rPr>
          <w:rFonts w:ascii="Times New Roman" w:hAnsi="Times New Roman" w:cs="Times New Roman"/>
          <w:sz w:val="24"/>
          <w:szCs w:val="24"/>
          <w:lang w:val="en-US"/>
        </w:rPr>
        <w:t xml:space="preserve">-led electoral coalition (EH </w:t>
      </w:r>
      <w:proofErr w:type="spellStart"/>
      <w:r w:rsidRPr="00161C1B">
        <w:rPr>
          <w:rFonts w:ascii="Times New Roman" w:hAnsi="Times New Roman" w:cs="Times New Roman"/>
          <w:sz w:val="24"/>
          <w:szCs w:val="24"/>
          <w:lang w:val="en-US"/>
        </w:rPr>
        <w:t>Bildu</w:t>
      </w:r>
      <w:proofErr w:type="spellEnd"/>
      <w:r w:rsidRPr="00161C1B">
        <w:rPr>
          <w:rFonts w:ascii="Times New Roman" w:hAnsi="Times New Roman" w:cs="Times New Roman"/>
          <w:sz w:val="24"/>
          <w:szCs w:val="24"/>
          <w:lang w:val="en-US"/>
        </w:rPr>
        <w:t xml:space="preserve">). In other words, the banning and </w:t>
      </w:r>
      <w:r w:rsidR="00A4783D">
        <w:rPr>
          <w:rFonts w:ascii="Times New Roman" w:hAnsi="Times New Roman" w:cs="Times New Roman"/>
          <w:sz w:val="24"/>
          <w:szCs w:val="24"/>
          <w:lang w:val="en-US"/>
        </w:rPr>
        <w:t xml:space="preserve">legalization </w:t>
      </w:r>
      <w:r w:rsidRPr="00161C1B">
        <w:rPr>
          <w:rFonts w:ascii="Times New Roman" w:hAnsi="Times New Roman" w:cs="Times New Roman"/>
          <w:sz w:val="24"/>
          <w:szCs w:val="24"/>
          <w:lang w:val="en-US"/>
        </w:rPr>
        <w:t xml:space="preserve">of </w:t>
      </w:r>
      <w:r w:rsidR="00A4783D">
        <w:rPr>
          <w:rFonts w:ascii="Times New Roman" w:hAnsi="Times New Roman" w:cs="Times New Roman"/>
          <w:sz w:val="24"/>
          <w:szCs w:val="24"/>
          <w:lang w:val="en-US"/>
        </w:rPr>
        <w:t xml:space="preserve">radical nationalist left parties </w:t>
      </w:r>
      <w:r w:rsidRPr="00161C1B">
        <w:rPr>
          <w:rFonts w:ascii="Times New Roman" w:hAnsi="Times New Roman" w:cs="Times New Roman"/>
          <w:sz w:val="24"/>
          <w:szCs w:val="24"/>
          <w:lang w:val="en-US"/>
        </w:rPr>
        <w:t>in 2009 and 2012, respectively, also “fictitiously” altered the format of the Basque party system, whose tendency was towards fragmentation in 2009 and concentration in 2012.</w:t>
      </w:r>
    </w:p>
    <w:p w:rsidR="00EA2DE1" w:rsidRDefault="00EA2DE1" w:rsidP="00895231">
      <w:pPr>
        <w:spacing w:after="0" w:line="360" w:lineRule="auto"/>
        <w:jc w:val="both"/>
        <w:rPr>
          <w:rFonts w:ascii="Times New Roman" w:hAnsi="Times New Roman" w:cs="Times New Roman"/>
          <w:sz w:val="24"/>
          <w:szCs w:val="24"/>
          <w:lang w:val="en-US"/>
        </w:rPr>
      </w:pPr>
    </w:p>
    <w:p w:rsid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lastRenderedPageBreak/>
        <w:t>Similarly</w:t>
      </w:r>
      <w:r w:rsidR="00A4783D">
        <w:rPr>
          <w:rFonts w:ascii="Times New Roman" w:hAnsi="Times New Roman" w:cs="Times New Roman"/>
          <w:sz w:val="24"/>
          <w:szCs w:val="24"/>
          <w:lang w:val="en-US"/>
        </w:rPr>
        <w:t xml:space="preserve">, </w:t>
      </w:r>
      <w:r w:rsidRPr="00161C1B">
        <w:rPr>
          <w:rFonts w:ascii="Times New Roman" w:hAnsi="Times New Roman" w:cs="Times New Roman"/>
          <w:sz w:val="24"/>
          <w:szCs w:val="24"/>
          <w:lang w:val="en-US"/>
        </w:rPr>
        <w:t xml:space="preserve">the prohibition of HB had also important consequences for the evolution of the </w:t>
      </w:r>
      <w:proofErr w:type="spellStart"/>
      <w:r w:rsidRPr="00161C1B">
        <w:rPr>
          <w:rFonts w:ascii="Times New Roman" w:hAnsi="Times New Roman" w:cs="Times New Roman"/>
          <w:sz w:val="24"/>
          <w:szCs w:val="24"/>
          <w:lang w:val="en-US"/>
        </w:rPr>
        <w:t>Navarrese</w:t>
      </w:r>
      <w:proofErr w:type="spellEnd"/>
      <w:r w:rsidRPr="00161C1B">
        <w:rPr>
          <w:rFonts w:ascii="Times New Roman" w:hAnsi="Times New Roman" w:cs="Times New Roman"/>
          <w:sz w:val="24"/>
          <w:szCs w:val="24"/>
          <w:lang w:val="en-US"/>
        </w:rPr>
        <w:t xml:space="preserve"> party system. </w:t>
      </w:r>
      <w:r w:rsidR="00542B2A">
        <w:rPr>
          <w:rFonts w:ascii="Times New Roman" w:hAnsi="Times New Roman" w:cs="Times New Roman"/>
          <w:sz w:val="24"/>
          <w:szCs w:val="24"/>
          <w:lang w:val="en-US"/>
        </w:rPr>
        <w:t>D</w:t>
      </w:r>
      <w:r w:rsidRPr="00161C1B">
        <w:rPr>
          <w:rFonts w:ascii="Times New Roman" w:hAnsi="Times New Roman" w:cs="Times New Roman"/>
          <w:sz w:val="24"/>
          <w:szCs w:val="24"/>
          <w:lang w:val="en-US"/>
        </w:rPr>
        <w:t>ue to different electoral cycle</w:t>
      </w:r>
      <w:r w:rsidR="00542B2A">
        <w:rPr>
          <w:rFonts w:ascii="Times New Roman" w:hAnsi="Times New Roman" w:cs="Times New Roman"/>
          <w:sz w:val="24"/>
          <w:szCs w:val="24"/>
          <w:lang w:val="en-US"/>
        </w:rPr>
        <w:t>s</w:t>
      </w:r>
      <w:r w:rsidRPr="00161C1B">
        <w:rPr>
          <w:rFonts w:ascii="Times New Roman" w:hAnsi="Times New Roman" w:cs="Times New Roman"/>
          <w:sz w:val="24"/>
          <w:szCs w:val="24"/>
          <w:lang w:val="en-US"/>
        </w:rPr>
        <w:t>,</w:t>
      </w:r>
      <w:r w:rsidRPr="00161C1B">
        <w:rPr>
          <w:rStyle w:val="FootnoteReference"/>
          <w:rFonts w:ascii="Times New Roman" w:hAnsi="Times New Roman" w:cs="Times New Roman"/>
          <w:sz w:val="24"/>
          <w:szCs w:val="24"/>
          <w:lang w:val="en-US"/>
        </w:rPr>
        <w:footnoteReference w:id="20"/>
      </w:r>
      <w:r w:rsidRPr="00161C1B">
        <w:rPr>
          <w:rFonts w:ascii="Times New Roman" w:hAnsi="Times New Roman" w:cs="Times New Roman"/>
          <w:sz w:val="24"/>
          <w:szCs w:val="24"/>
          <w:lang w:val="en-US"/>
        </w:rPr>
        <w:t xml:space="preserve"> the banning of radical nationalist left forces took </w:t>
      </w:r>
      <w:r w:rsidR="00542B2A">
        <w:rPr>
          <w:rFonts w:ascii="Times New Roman" w:hAnsi="Times New Roman" w:cs="Times New Roman"/>
          <w:sz w:val="24"/>
          <w:szCs w:val="24"/>
          <w:lang w:val="en-US"/>
        </w:rPr>
        <w:t xml:space="preserve">place over </w:t>
      </w:r>
      <w:r w:rsidRPr="00161C1B">
        <w:rPr>
          <w:rFonts w:ascii="Times New Roman" w:hAnsi="Times New Roman" w:cs="Times New Roman"/>
          <w:sz w:val="24"/>
          <w:szCs w:val="24"/>
          <w:lang w:val="en-US"/>
        </w:rPr>
        <w:t xml:space="preserve">two consecutive legislative periods. </w:t>
      </w:r>
      <w:r w:rsidR="00300484">
        <w:rPr>
          <w:rFonts w:ascii="Times New Roman" w:hAnsi="Times New Roman" w:cs="Times New Roman"/>
          <w:sz w:val="24"/>
          <w:szCs w:val="24"/>
          <w:lang w:val="en-US"/>
        </w:rPr>
        <w:t xml:space="preserve"> </w:t>
      </w:r>
      <w:r w:rsidRPr="00161C1B">
        <w:rPr>
          <w:rFonts w:ascii="Times New Roman" w:hAnsi="Times New Roman" w:cs="Times New Roman"/>
          <w:sz w:val="24"/>
          <w:szCs w:val="24"/>
          <w:lang w:val="en-US"/>
        </w:rPr>
        <w:t xml:space="preserve">In terms of the stability of the </w:t>
      </w:r>
      <w:proofErr w:type="spellStart"/>
      <w:r w:rsidRPr="00161C1B">
        <w:rPr>
          <w:rFonts w:ascii="Times New Roman" w:hAnsi="Times New Roman" w:cs="Times New Roman"/>
          <w:sz w:val="24"/>
          <w:szCs w:val="24"/>
          <w:lang w:val="en-US"/>
        </w:rPr>
        <w:t>Navarrese</w:t>
      </w:r>
      <w:proofErr w:type="spellEnd"/>
      <w:r w:rsidRPr="00161C1B">
        <w:rPr>
          <w:rFonts w:ascii="Times New Roman" w:hAnsi="Times New Roman" w:cs="Times New Roman"/>
          <w:sz w:val="24"/>
          <w:szCs w:val="24"/>
          <w:lang w:val="en-US"/>
        </w:rPr>
        <w:t xml:space="preserve"> electorate since 1979, it is important to contrast the moderate effect of HB´s banning in 2003 with the reappearance of the radical nationalist left in 2011 (</w:t>
      </w:r>
      <w:proofErr w:type="spellStart"/>
      <w:r w:rsidRPr="00161C1B">
        <w:rPr>
          <w:rFonts w:ascii="Times New Roman" w:hAnsi="Times New Roman" w:cs="Times New Roman"/>
          <w:sz w:val="24"/>
          <w:szCs w:val="24"/>
          <w:lang w:val="en-US"/>
        </w:rPr>
        <w:t>Bildu</w:t>
      </w:r>
      <w:proofErr w:type="spellEnd"/>
      <w:r w:rsidRPr="00161C1B">
        <w:rPr>
          <w:rFonts w:ascii="Times New Roman" w:hAnsi="Times New Roman" w:cs="Times New Roman"/>
          <w:sz w:val="24"/>
          <w:szCs w:val="24"/>
          <w:lang w:val="en-US"/>
        </w:rPr>
        <w:t xml:space="preserve">). Thus, and as it follows from </w:t>
      </w:r>
      <w:r w:rsidR="00300484">
        <w:rPr>
          <w:rFonts w:ascii="Times New Roman" w:hAnsi="Times New Roman" w:cs="Times New Roman"/>
          <w:sz w:val="24"/>
          <w:szCs w:val="24"/>
          <w:lang w:val="en-US"/>
        </w:rPr>
        <w:t>T</w:t>
      </w:r>
      <w:r w:rsidRPr="00161C1B">
        <w:rPr>
          <w:rFonts w:ascii="Times New Roman" w:hAnsi="Times New Roman" w:cs="Times New Roman"/>
          <w:sz w:val="24"/>
          <w:szCs w:val="24"/>
          <w:lang w:val="en-US"/>
        </w:rPr>
        <w:t xml:space="preserve">able </w:t>
      </w:r>
      <w:r w:rsidR="00300484">
        <w:rPr>
          <w:rFonts w:ascii="Times New Roman" w:hAnsi="Times New Roman" w:cs="Times New Roman"/>
          <w:sz w:val="24"/>
          <w:szCs w:val="24"/>
          <w:lang w:val="en-US"/>
        </w:rPr>
        <w:t>7</w:t>
      </w:r>
      <w:r w:rsidRPr="00161C1B">
        <w:rPr>
          <w:rFonts w:ascii="Times New Roman" w:hAnsi="Times New Roman" w:cs="Times New Roman"/>
          <w:sz w:val="24"/>
          <w:szCs w:val="24"/>
          <w:lang w:val="en-US"/>
        </w:rPr>
        <w:t xml:space="preserve">, while </w:t>
      </w:r>
      <w:r w:rsidR="00300484">
        <w:rPr>
          <w:rFonts w:ascii="Times New Roman" w:hAnsi="Times New Roman" w:cs="Times New Roman"/>
          <w:sz w:val="24"/>
          <w:szCs w:val="24"/>
          <w:lang w:val="en-US"/>
        </w:rPr>
        <w:t xml:space="preserve">banning HB </w:t>
      </w:r>
      <w:r w:rsidRPr="00161C1B">
        <w:rPr>
          <w:rFonts w:ascii="Times New Roman" w:hAnsi="Times New Roman" w:cs="Times New Roman"/>
          <w:sz w:val="24"/>
          <w:szCs w:val="24"/>
          <w:lang w:val="en-US"/>
        </w:rPr>
        <w:t xml:space="preserve">seems to have decreased the level of TEV, contrary to the expectations, </w:t>
      </w:r>
      <w:r w:rsidR="00300484">
        <w:rPr>
          <w:rFonts w:ascii="Times New Roman" w:hAnsi="Times New Roman" w:cs="Times New Roman"/>
          <w:sz w:val="24"/>
          <w:szCs w:val="24"/>
          <w:lang w:val="en-US"/>
        </w:rPr>
        <w:t xml:space="preserve">its legalization </w:t>
      </w:r>
      <w:r w:rsidRPr="00161C1B">
        <w:rPr>
          <w:rFonts w:ascii="Times New Roman" w:hAnsi="Times New Roman" w:cs="Times New Roman"/>
          <w:sz w:val="24"/>
          <w:szCs w:val="24"/>
          <w:lang w:val="en-US"/>
        </w:rPr>
        <w:t xml:space="preserve">clearly converted the 2011 contest in an electoral “earthquake”. TEV </w:t>
      </w:r>
      <w:r w:rsidR="00300484">
        <w:rPr>
          <w:rFonts w:ascii="Times New Roman" w:hAnsi="Times New Roman" w:cs="Times New Roman"/>
          <w:sz w:val="24"/>
          <w:szCs w:val="24"/>
          <w:lang w:val="en-US"/>
        </w:rPr>
        <w:t xml:space="preserve">increased </w:t>
      </w:r>
      <w:r w:rsidRPr="00161C1B">
        <w:rPr>
          <w:rFonts w:ascii="Times New Roman" w:hAnsi="Times New Roman" w:cs="Times New Roman"/>
          <w:sz w:val="24"/>
          <w:szCs w:val="24"/>
          <w:lang w:val="en-US"/>
        </w:rPr>
        <w:t xml:space="preserve">to levels only previously observed in 1983 with the disappearance of UCD, </w:t>
      </w:r>
      <w:r w:rsidR="00300484">
        <w:rPr>
          <w:rFonts w:ascii="Times New Roman" w:hAnsi="Times New Roman" w:cs="Times New Roman"/>
          <w:sz w:val="24"/>
          <w:szCs w:val="24"/>
          <w:lang w:val="en-US"/>
        </w:rPr>
        <w:t xml:space="preserve">in </w:t>
      </w:r>
      <w:r w:rsidRPr="00161C1B">
        <w:rPr>
          <w:rFonts w:ascii="Times New Roman" w:hAnsi="Times New Roman" w:cs="Times New Roman"/>
          <w:sz w:val="24"/>
          <w:szCs w:val="24"/>
          <w:lang w:val="en-US"/>
        </w:rPr>
        <w:t>1987 with the reorganization of AP, and in 1995 with the creation of CDN.</w:t>
      </w:r>
      <w:r w:rsidRPr="00161C1B">
        <w:rPr>
          <w:rStyle w:val="FootnoteReference"/>
          <w:rFonts w:ascii="Times New Roman" w:hAnsi="Times New Roman" w:cs="Times New Roman"/>
          <w:sz w:val="24"/>
          <w:szCs w:val="24"/>
          <w:lang w:val="en-US"/>
        </w:rPr>
        <w:footnoteReference w:id="21"/>
      </w:r>
      <w:r w:rsidRPr="00161C1B">
        <w:rPr>
          <w:rFonts w:ascii="Times New Roman" w:hAnsi="Times New Roman" w:cs="Times New Roman"/>
          <w:sz w:val="24"/>
          <w:szCs w:val="24"/>
          <w:lang w:val="en-US"/>
        </w:rPr>
        <w:t xml:space="preserve"> As in the Basque case, the contribution of </w:t>
      </w:r>
      <w:proofErr w:type="spellStart"/>
      <w:r w:rsidRPr="00161C1B">
        <w:rPr>
          <w:rFonts w:ascii="Times New Roman" w:hAnsi="Times New Roman" w:cs="Times New Roman"/>
          <w:sz w:val="24"/>
          <w:szCs w:val="24"/>
          <w:lang w:val="en-US"/>
        </w:rPr>
        <w:t>Bildu</w:t>
      </w:r>
      <w:proofErr w:type="spellEnd"/>
      <w:r w:rsidRPr="00161C1B">
        <w:rPr>
          <w:rFonts w:ascii="Times New Roman" w:hAnsi="Times New Roman" w:cs="Times New Roman"/>
          <w:sz w:val="24"/>
          <w:szCs w:val="24"/>
          <w:lang w:val="en-US"/>
        </w:rPr>
        <w:t xml:space="preserve"> to the TEV in 2011 amounted to almost a third (6.7).</w:t>
      </w:r>
    </w:p>
    <w:p w:rsidR="00EA2DE1" w:rsidRPr="00883DB3" w:rsidRDefault="00EA2DE1" w:rsidP="00883DB3">
      <w:pPr>
        <w:spacing w:after="0" w:line="360" w:lineRule="auto"/>
        <w:jc w:val="center"/>
        <w:rPr>
          <w:rFonts w:ascii="Times New Roman" w:hAnsi="Times New Roman" w:cs="Times New Roman"/>
          <w:b/>
          <w:sz w:val="24"/>
          <w:szCs w:val="24"/>
          <w:lang w:val="en-US"/>
        </w:rPr>
      </w:pPr>
    </w:p>
    <w:p w:rsidR="00EA2DE1" w:rsidRDefault="00EA2DE1" w:rsidP="00300484">
      <w:pPr>
        <w:spacing w:after="0" w:line="240" w:lineRule="auto"/>
        <w:jc w:val="center"/>
        <w:rPr>
          <w:rFonts w:ascii="Times New Roman" w:hAnsi="Times New Roman" w:cs="Times New Roman"/>
          <w:b/>
          <w:sz w:val="24"/>
          <w:szCs w:val="24"/>
          <w:lang w:val="en-US"/>
        </w:rPr>
      </w:pPr>
      <w:proofErr w:type="gramStart"/>
      <w:r w:rsidRPr="00883DB3">
        <w:rPr>
          <w:rFonts w:ascii="Times New Roman" w:hAnsi="Times New Roman" w:cs="Times New Roman"/>
          <w:b/>
          <w:sz w:val="24"/>
          <w:szCs w:val="24"/>
          <w:lang w:val="en-US"/>
        </w:rPr>
        <w:t xml:space="preserve">Table </w:t>
      </w:r>
      <w:r w:rsidR="00300484">
        <w:rPr>
          <w:rFonts w:ascii="Times New Roman" w:hAnsi="Times New Roman" w:cs="Times New Roman"/>
          <w:b/>
          <w:sz w:val="24"/>
          <w:szCs w:val="24"/>
          <w:lang w:val="en-US"/>
        </w:rPr>
        <w:t>7</w:t>
      </w:r>
      <w:r w:rsidRPr="00883DB3">
        <w:rPr>
          <w:rFonts w:ascii="Times New Roman" w:hAnsi="Times New Roman" w:cs="Times New Roman"/>
          <w:b/>
          <w:sz w:val="24"/>
          <w:szCs w:val="24"/>
          <w:lang w:val="en-US"/>
        </w:rPr>
        <w:t>.</w:t>
      </w:r>
      <w:proofErr w:type="gramEnd"/>
      <w:r w:rsidRPr="00883DB3">
        <w:rPr>
          <w:rFonts w:ascii="Times New Roman" w:hAnsi="Times New Roman" w:cs="Times New Roman"/>
          <w:b/>
          <w:sz w:val="24"/>
          <w:szCs w:val="24"/>
          <w:lang w:val="en-US"/>
        </w:rPr>
        <w:t xml:space="preserve"> Party system indicators in Navarra (1979-2011)</w:t>
      </w:r>
    </w:p>
    <w:p w:rsidR="00300484" w:rsidRPr="00883DB3" w:rsidRDefault="00300484" w:rsidP="00300484">
      <w:pPr>
        <w:spacing w:after="0" w:line="240" w:lineRule="auto"/>
        <w:jc w:val="center"/>
        <w:rPr>
          <w:rFonts w:ascii="Times New Roman" w:hAnsi="Times New Roman" w:cs="Times New Roman"/>
          <w:b/>
          <w:sz w:val="24"/>
          <w:szCs w:val="24"/>
          <w:lang w:val="en-US"/>
        </w:rPr>
      </w:pPr>
    </w:p>
    <w:tbl>
      <w:tblPr>
        <w:tblStyle w:val="TableGrid"/>
        <w:tblW w:w="8897" w:type="dxa"/>
        <w:tblLayout w:type="fixed"/>
        <w:tblLook w:val="04A0" w:firstRow="1" w:lastRow="0" w:firstColumn="1" w:lastColumn="0" w:noHBand="0" w:noVBand="1"/>
      </w:tblPr>
      <w:tblGrid>
        <w:gridCol w:w="1124"/>
        <w:gridCol w:w="1111"/>
        <w:gridCol w:w="845"/>
        <w:gridCol w:w="656"/>
        <w:gridCol w:w="830"/>
        <w:gridCol w:w="1071"/>
        <w:gridCol w:w="708"/>
        <w:gridCol w:w="851"/>
        <w:gridCol w:w="850"/>
        <w:gridCol w:w="851"/>
      </w:tblGrid>
      <w:tr w:rsidR="00EA2DE1" w:rsidRPr="00161C1B" w:rsidTr="00895231">
        <w:tc>
          <w:tcPr>
            <w:tcW w:w="1124" w:type="dxa"/>
          </w:tcPr>
          <w:p w:rsidR="00EA2DE1" w:rsidRPr="00161C1B" w:rsidRDefault="00EA2DE1" w:rsidP="00895231">
            <w:pPr>
              <w:jc w:val="center"/>
              <w:rPr>
                <w:sz w:val="22"/>
                <w:szCs w:val="22"/>
                <w:lang w:val="en-US"/>
              </w:rPr>
            </w:pPr>
          </w:p>
        </w:tc>
        <w:tc>
          <w:tcPr>
            <w:tcW w:w="1111" w:type="dxa"/>
            <w:vAlign w:val="center"/>
          </w:tcPr>
          <w:p w:rsidR="00EA2DE1" w:rsidRPr="00161C1B" w:rsidRDefault="00EA2DE1" w:rsidP="00895231">
            <w:pPr>
              <w:jc w:val="center"/>
              <w:rPr>
                <w:b/>
                <w:bCs/>
                <w:color w:val="000000"/>
                <w:sz w:val="22"/>
                <w:szCs w:val="22"/>
              </w:rPr>
            </w:pPr>
            <w:r w:rsidRPr="00161C1B">
              <w:rPr>
                <w:b/>
                <w:bCs/>
                <w:color w:val="000000"/>
                <w:sz w:val="22"/>
                <w:szCs w:val="22"/>
              </w:rPr>
              <w:t>1979</w:t>
            </w:r>
          </w:p>
        </w:tc>
        <w:tc>
          <w:tcPr>
            <w:tcW w:w="845" w:type="dxa"/>
            <w:vAlign w:val="center"/>
          </w:tcPr>
          <w:p w:rsidR="00EA2DE1" w:rsidRPr="00161C1B" w:rsidRDefault="00EA2DE1" w:rsidP="00895231">
            <w:pPr>
              <w:jc w:val="center"/>
              <w:rPr>
                <w:b/>
                <w:bCs/>
                <w:color w:val="000000"/>
                <w:sz w:val="22"/>
                <w:szCs w:val="22"/>
              </w:rPr>
            </w:pPr>
            <w:r w:rsidRPr="00161C1B">
              <w:rPr>
                <w:b/>
                <w:bCs/>
                <w:color w:val="000000"/>
                <w:sz w:val="22"/>
                <w:szCs w:val="22"/>
              </w:rPr>
              <w:t>1983</w:t>
            </w:r>
          </w:p>
        </w:tc>
        <w:tc>
          <w:tcPr>
            <w:tcW w:w="656" w:type="dxa"/>
            <w:vAlign w:val="center"/>
          </w:tcPr>
          <w:p w:rsidR="00EA2DE1" w:rsidRPr="00161C1B" w:rsidRDefault="00EA2DE1" w:rsidP="00895231">
            <w:pPr>
              <w:jc w:val="center"/>
              <w:rPr>
                <w:b/>
                <w:bCs/>
                <w:color w:val="000000"/>
                <w:sz w:val="22"/>
                <w:szCs w:val="22"/>
              </w:rPr>
            </w:pPr>
            <w:r w:rsidRPr="00161C1B">
              <w:rPr>
                <w:b/>
                <w:bCs/>
                <w:color w:val="000000"/>
                <w:sz w:val="22"/>
                <w:szCs w:val="22"/>
              </w:rPr>
              <w:t>1987</w:t>
            </w:r>
          </w:p>
        </w:tc>
        <w:tc>
          <w:tcPr>
            <w:tcW w:w="830" w:type="dxa"/>
            <w:vAlign w:val="center"/>
          </w:tcPr>
          <w:p w:rsidR="00EA2DE1" w:rsidRPr="00161C1B" w:rsidRDefault="00EA2DE1" w:rsidP="00895231">
            <w:pPr>
              <w:jc w:val="center"/>
              <w:rPr>
                <w:b/>
                <w:bCs/>
                <w:color w:val="000000"/>
                <w:sz w:val="22"/>
                <w:szCs w:val="22"/>
              </w:rPr>
            </w:pPr>
            <w:r w:rsidRPr="00161C1B">
              <w:rPr>
                <w:b/>
                <w:bCs/>
                <w:color w:val="000000"/>
                <w:sz w:val="22"/>
                <w:szCs w:val="22"/>
              </w:rPr>
              <w:t>1991</w:t>
            </w:r>
          </w:p>
        </w:tc>
        <w:tc>
          <w:tcPr>
            <w:tcW w:w="1071" w:type="dxa"/>
            <w:vAlign w:val="center"/>
          </w:tcPr>
          <w:p w:rsidR="00EA2DE1" w:rsidRPr="00161C1B" w:rsidRDefault="00EA2DE1" w:rsidP="00895231">
            <w:pPr>
              <w:jc w:val="center"/>
              <w:rPr>
                <w:b/>
                <w:bCs/>
                <w:color w:val="000000"/>
                <w:sz w:val="22"/>
                <w:szCs w:val="22"/>
              </w:rPr>
            </w:pPr>
            <w:r w:rsidRPr="00161C1B">
              <w:rPr>
                <w:b/>
                <w:bCs/>
                <w:color w:val="000000"/>
                <w:sz w:val="22"/>
                <w:szCs w:val="22"/>
              </w:rPr>
              <w:t>1995</w:t>
            </w:r>
          </w:p>
        </w:tc>
        <w:tc>
          <w:tcPr>
            <w:tcW w:w="708" w:type="dxa"/>
            <w:vAlign w:val="center"/>
          </w:tcPr>
          <w:p w:rsidR="00EA2DE1" w:rsidRPr="00161C1B" w:rsidRDefault="00EA2DE1" w:rsidP="00895231">
            <w:pPr>
              <w:jc w:val="center"/>
              <w:rPr>
                <w:b/>
                <w:bCs/>
                <w:color w:val="000000"/>
                <w:sz w:val="22"/>
                <w:szCs w:val="22"/>
              </w:rPr>
            </w:pPr>
            <w:r w:rsidRPr="00161C1B">
              <w:rPr>
                <w:b/>
                <w:bCs/>
                <w:color w:val="000000"/>
                <w:sz w:val="22"/>
                <w:szCs w:val="22"/>
              </w:rPr>
              <w:t>1999</w:t>
            </w:r>
          </w:p>
        </w:tc>
        <w:tc>
          <w:tcPr>
            <w:tcW w:w="851" w:type="dxa"/>
            <w:vAlign w:val="center"/>
          </w:tcPr>
          <w:p w:rsidR="00EA2DE1" w:rsidRPr="00161C1B" w:rsidRDefault="00EA2DE1" w:rsidP="00895231">
            <w:pPr>
              <w:jc w:val="center"/>
              <w:rPr>
                <w:b/>
                <w:bCs/>
                <w:color w:val="000000"/>
                <w:sz w:val="22"/>
                <w:szCs w:val="22"/>
              </w:rPr>
            </w:pPr>
            <w:r w:rsidRPr="00161C1B">
              <w:rPr>
                <w:b/>
                <w:bCs/>
                <w:color w:val="000000"/>
                <w:sz w:val="22"/>
                <w:szCs w:val="22"/>
              </w:rPr>
              <w:t>2003</w:t>
            </w:r>
          </w:p>
        </w:tc>
        <w:tc>
          <w:tcPr>
            <w:tcW w:w="850" w:type="dxa"/>
            <w:vAlign w:val="center"/>
          </w:tcPr>
          <w:p w:rsidR="00EA2DE1" w:rsidRPr="00161C1B" w:rsidRDefault="00EA2DE1" w:rsidP="00895231">
            <w:pPr>
              <w:jc w:val="center"/>
              <w:rPr>
                <w:b/>
                <w:bCs/>
                <w:color w:val="000000"/>
                <w:sz w:val="22"/>
                <w:szCs w:val="22"/>
              </w:rPr>
            </w:pPr>
            <w:r w:rsidRPr="00161C1B">
              <w:rPr>
                <w:b/>
                <w:bCs/>
                <w:color w:val="000000"/>
                <w:sz w:val="22"/>
                <w:szCs w:val="22"/>
              </w:rPr>
              <w:t>2007</w:t>
            </w:r>
          </w:p>
        </w:tc>
        <w:tc>
          <w:tcPr>
            <w:tcW w:w="851" w:type="dxa"/>
            <w:vAlign w:val="center"/>
          </w:tcPr>
          <w:p w:rsidR="00EA2DE1" w:rsidRPr="00161C1B" w:rsidRDefault="00EA2DE1" w:rsidP="00895231">
            <w:pPr>
              <w:jc w:val="center"/>
              <w:rPr>
                <w:b/>
                <w:bCs/>
                <w:color w:val="000000"/>
                <w:sz w:val="22"/>
                <w:szCs w:val="22"/>
              </w:rPr>
            </w:pPr>
            <w:r w:rsidRPr="00161C1B">
              <w:rPr>
                <w:b/>
                <w:bCs/>
                <w:color w:val="000000"/>
                <w:sz w:val="22"/>
                <w:szCs w:val="22"/>
              </w:rPr>
              <w:t>2011</w:t>
            </w:r>
          </w:p>
        </w:tc>
      </w:tr>
      <w:tr w:rsidR="00EA2DE1" w:rsidRPr="00161C1B" w:rsidTr="00895231">
        <w:tc>
          <w:tcPr>
            <w:tcW w:w="1124" w:type="dxa"/>
          </w:tcPr>
          <w:p w:rsidR="00EA2DE1" w:rsidRPr="00161C1B" w:rsidRDefault="00EA2DE1" w:rsidP="00895231">
            <w:pPr>
              <w:jc w:val="center"/>
              <w:rPr>
                <w:b/>
                <w:sz w:val="22"/>
                <w:szCs w:val="22"/>
                <w:lang w:val="en-US"/>
              </w:rPr>
            </w:pPr>
            <w:r w:rsidRPr="00161C1B">
              <w:rPr>
                <w:b/>
                <w:sz w:val="22"/>
                <w:szCs w:val="22"/>
                <w:lang w:val="en-US"/>
              </w:rPr>
              <w:t>TEV</w:t>
            </w:r>
          </w:p>
        </w:tc>
        <w:tc>
          <w:tcPr>
            <w:tcW w:w="1111" w:type="dxa"/>
            <w:vAlign w:val="bottom"/>
          </w:tcPr>
          <w:p w:rsidR="00EA2DE1" w:rsidRPr="00161C1B" w:rsidRDefault="00EA2DE1" w:rsidP="00895231">
            <w:pPr>
              <w:jc w:val="center"/>
              <w:rPr>
                <w:color w:val="000000"/>
                <w:sz w:val="22"/>
                <w:szCs w:val="22"/>
              </w:rPr>
            </w:pPr>
            <w:r w:rsidRPr="00161C1B">
              <w:rPr>
                <w:color w:val="000000"/>
                <w:sz w:val="22"/>
                <w:szCs w:val="22"/>
              </w:rPr>
              <w:t>-</w:t>
            </w:r>
          </w:p>
        </w:tc>
        <w:tc>
          <w:tcPr>
            <w:tcW w:w="845" w:type="dxa"/>
            <w:vAlign w:val="bottom"/>
          </w:tcPr>
          <w:p w:rsidR="00EA2DE1" w:rsidRPr="00161C1B" w:rsidRDefault="00EA2DE1" w:rsidP="00895231">
            <w:pPr>
              <w:jc w:val="center"/>
              <w:rPr>
                <w:color w:val="000000"/>
                <w:sz w:val="22"/>
                <w:szCs w:val="22"/>
              </w:rPr>
            </w:pPr>
            <w:r w:rsidRPr="00161C1B">
              <w:rPr>
                <w:color w:val="000000"/>
                <w:sz w:val="22"/>
                <w:szCs w:val="22"/>
              </w:rPr>
              <w:t>26.7</w:t>
            </w:r>
          </w:p>
        </w:tc>
        <w:tc>
          <w:tcPr>
            <w:tcW w:w="656" w:type="dxa"/>
            <w:vAlign w:val="bottom"/>
          </w:tcPr>
          <w:p w:rsidR="00EA2DE1" w:rsidRPr="00161C1B" w:rsidRDefault="00EA2DE1" w:rsidP="00895231">
            <w:pPr>
              <w:jc w:val="center"/>
              <w:rPr>
                <w:color w:val="000000"/>
                <w:sz w:val="22"/>
                <w:szCs w:val="22"/>
              </w:rPr>
            </w:pPr>
            <w:r w:rsidRPr="00161C1B">
              <w:rPr>
                <w:color w:val="000000"/>
                <w:sz w:val="22"/>
                <w:szCs w:val="22"/>
              </w:rPr>
              <w:t>17.5</w:t>
            </w:r>
          </w:p>
        </w:tc>
        <w:tc>
          <w:tcPr>
            <w:tcW w:w="830" w:type="dxa"/>
            <w:vAlign w:val="bottom"/>
          </w:tcPr>
          <w:p w:rsidR="00EA2DE1" w:rsidRPr="00161C1B" w:rsidRDefault="00EA2DE1" w:rsidP="00895231">
            <w:pPr>
              <w:jc w:val="center"/>
              <w:rPr>
                <w:color w:val="000000"/>
                <w:sz w:val="22"/>
                <w:szCs w:val="22"/>
              </w:rPr>
            </w:pPr>
            <w:r w:rsidRPr="00161C1B">
              <w:rPr>
                <w:color w:val="000000"/>
                <w:sz w:val="22"/>
                <w:szCs w:val="22"/>
              </w:rPr>
              <w:t>10.4</w:t>
            </w:r>
          </w:p>
        </w:tc>
        <w:tc>
          <w:tcPr>
            <w:tcW w:w="1071" w:type="dxa"/>
            <w:vAlign w:val="bottom"/>
          </w:tcPr>
          <w:p w:rsidR="00EA2DE1" w:rsidRPr="00161C1B" w:rsidRDefault="00EA2DE1" w:rsidP="00895231">
            <w:pPr>
              <w:jc w:val="center"/>
              <w:rPr>
                <w:color w:val="000000"/>
                <w:sz w:val="22"/>
                <w:szCs w:val="22"/>
              </w:rPr>
            </w:pPr>
            <w:r w:rsidRPr="00161C1B">
              <w:rPr>
                <w:color w:val="000000"/>
                <w:sz w:val="22"/>
                <w:szCs w:val="22"/>
              </w:rPr>
              <w:t>21.6</w:t>
            </w:r>
          </w:p>
        </w:tc>
        <w:tc>
          <w:tcPr>
            <w:tcW w:w="708" w:type="dxa"/>
            <w:vAlign w:val="bottom"/>
          </w:tcPr>
          <w:p w:rsidR="00EA2DE1" w:rsidRPr="00161C1B" w:rsidRDefault="00EA2DE1" w:rsidP="00895231">
            <w:pPr>
              <w:jc w:val="center"/>
              <w:rPr>
                <w:color w:val="000000"/>
                <w:sz w:val="22"/>
                <w:szCs w:val="22"/>
              </w:rPr>
            </w:pPr>
            <w:r w:rsidRPr="00161C1B">
              <w:rPr>
                <w:color w:val="000000"/>
                <w:sz w:val="22"/>
                <w:szCs w:val="22"/>
              </w:rPr>
              <w:t>15.7</w:t>
            </w:r>
          </w:p>
        </w:tc>
        <w:tc>
          <w:tcPr>
            <w:tcW w:w="851" w:type="dxa"/>
            <w:vAlign w:val="bottom"/>
          </w:tcPr>
          <w:p w:rsidR="00EA2DE1" w:rsidRPr="00161C1B" w:rsidRDefault="00EA2DE1" w:rsidP="00895231">
            <w:pPr>
              <w:jc w:val="center"/>
              <w:rPr>
                <w:color w:val="000000"/>
                <w:sz w:val="22"/>
                <w:szCs w:val="22"/>
              </w:rPr>
            </w:pPr>
            <w:r w:rsidRPr="00161C1B">
              <w:rPr>
                <w:color w:val="000000"/>
                <w:sz w:val="22"/>
                <w:szCs w:val="22"/>
              </w:rPr>
              <w:t>6.3</w:t>
            </w:r>
          </w:p>
        </w:tc>
        <w:tc>
          <w:tcPr>
            <w:tcW w:w="850" w:type="dxa"/>
            <w:vAlign w:val="bottom"/>
          </w:tcPr>
          <w:p w:rsidR="00EA2DE1" w:rsidRPr="00161C1B" w:rsidRDefault="00EA2DE1" w:rsidP="00895231">
            <w:pPr>
              <w:jc w:val="center"/>
              <w:rPr>
                <w:color w:val="000000"/>
                <w:sz w:val="22"/>
                <w:szCs w:val="22"/>
              </w:rPr>
            </w:pPr>
            <w:r w:rsidRPr="00161C1B">
              <w:rPr>
                <w:color w:val="000000"/>
                <w:sz w:val="22"/>
                <w:szCs w:val="22"/>
              </w:rPr>
              <w:t>8.6</w:t>
            </w:r>
          </w:p>
        </w:tc>
        <w:tc>
          <w:tcPr>
            <w:tcW w:w="851" w:type="dxa"/>
            <w:vAlign w:val="bottom"/>
          </w:tcPr>
          <w:p w:rsidR="00EA2DE1" w:rsidRPr="00161C1B" w:rsidRDefault="00EA2DE1" w:rsidP="00895231">
            <w:pPr>
              <w:jc w:val="center"/>
              <w:rPr>
                <w:color w:val="000000"/>
                <w:sz w:val="22"/>
                <w:szCs w:val="22"/>
              </w:rPr>
            </w:pPr>
            <w:r w:rsidRPr="00161C1B">
              <w:rPr>
                <w:color w:val="000000"/>
                <w:sz w:val="22"/>
                <w:szCs w:val="22"/>
              </w:rPr>
              <w:t>17.3</w:t>
            </w:r>
          </w:p>
        </w:tc>
      </w:tr>
      <w:tr w:rsidR="00EA2DE1" w:rsidRPr="00161C1B" w:rsidTr="00895231">
        <w:tc>
          <w:tcPr>
            <w:tcW w:w="1124" w:type="dxa"/>
          </w:tcPr>
          <w:p w:rsidR="00EA2DE1" w:rsidRPr="00161C1B" w:rsidRDefault="00EA2DE1" w:rsidP="00895231">
            <w:pPr>
              <w:jc w:val="center"/>
              <w:rPr>
                <w:b/>
                <w:sz w:val="22"/>
                <w:szCs w:val="22"/>
                <w:lang w:val="en-US"/>
              </w:rPr>
            </w:pPr>
            <w:r w:rsidRPr="00161C1B">
              <w:rPr>
                <w:b/>
                <w:sz w:val="22"/>
                <w:szCs w:val="22"/>
                <w:lang w:val="en-US"/>
              </w:rPr>
              <w:t>ENEP</w:t>
            </w:r>
          </w:p>
        </w:tc>
        <w:tc>
          <w:tcPr>
            <w:tcW w:w="1111" w:type="dxa"/>
            <w:vAlign w:val="bottom"/>
          </w:tcPr>
          <w:p w:rsidR="00EA2DE1" w:rsidRPr="00161C1B" w:rsidRDefault="00EA2DE1" w:rsidP="00895231">
            <w:pPr>
              <w:jc w:val="center"/>
              <w:rPr>
                <w:color w:val="000000"/>
                <w:sz w:val="22"/>
                <w:szCs w:val="22"/>
              </w:rPr>
            </w:pPr>
            <w:r w:rsidRPr="00161C1B">
              <w:rPr>
                <w:color w:val="000000"/>
                <w:sz w:val="22"/>
                <w:szCs w:val="22"/>
              </w:rPr>
              <w:t>6.3</w:t>
            </w:r>
          </w:p>
        </w:tc>
        <w:tc>
          <w:tcPr>
            <w:tcW w:w="845" w:type="dxa"/>
            <w:vAlign w:val="bottom"/>
          </w:tcPr>
          <w:p w:rsidR="00EA2DE1" w:rsidRPr="00161C1B" w:rsidRDefault="00EA2DE1" w:rsidP="00895231">
            <w:pPr>
              <w:jc w:val="center"/>
              <w:rPr>
                <w:color w:val="000000"/>
                <w:sz w:val="22"/>
                <w:szCs w:val="22"/>
              </w:rPr>
            </w:pPr>
            <w:r w:rsidRPr="00161C1B">
              <w:rPr>
                <w:color w:val="000000"/>
                <w:sz w:val="22"/>
                <w:szCs w:val="22"/>
              </w:rPr>
              <w:t>4.5</w:t>
            </w:r>
          </w:p>
        </w:tc>
        <w:tc>
          <w:tcPr>
            <w:tcW w:w="656" w:type="dxa"/>
            <w:vAlign w:val="bottom"/>
          </w:tcPr>
          <w:p w:rsidR="00EA2DE1" w:rsidRPr="00161C1B" w:rsidRDefault="00EA2DE1" w:rsidP="00895231">
            <w:pPr>
              <w:jc w:val="center"/>
              <w:rPr>
                <w:color w:val="000000"/>
                <w:sz w:val="22"/>
                <w:szCs w:val="22"/>
              </w:rPr>
            </w:pPr>
            <w:r w:rsidRPr="00161C1B">
              <w:rPr>
                <w:color w:val="000000"/>
                <w:sz w:val="22"/>
                <w:szCs w:val="22"/>
              </w:rPr>
              <w:t>5.6</w:t>
            </w:r>
          </w:p>
        </w:tc>
        <w:tc>
          <w:tcPr>
            <w:tcW w:w="830" w:type="dxa"/>
            <w:vAlign w:val="bottom"/>
          </w:tcPr>
          <w:p w:rsidR="00EA2DE1" w:rsidRPr="00161C1B" w:rsidRDefault="00EA2DE1" w:rsidP="00895231">
            <w:pPr>
              <w:jc w:val="center"/>
              <w:rPr>
                <w:color w:val="000000"/>
                <w:sz w:val="22"/>
                <w:szCs w:val="22"/>
              </w:rPr>
            </w:pPr>
            <w:r w:rsidRPr="00161C1B">
              <w:rPr>
                <w:color w:val="000000"/>
                <w:sz w:val="22"/>
                <w:szCs w:val="22"/>
              </w:rPr>
              <w:t>3.9</w:t>
            </w:r>
          </w:p>
        </w:tc>
        <w:tc>
          <w:tcPr>
            <w:tcW w:w="1071" w:type="dxa"/>
            <w:vAlign w:val="bottom"/>
          </w:tcPr>
          <w:p w:rsidR="00EA2DE1" w:rsidRPr="00161C1B" w:rsidRDefault="00EA2DE1" w:rsidP="00895231">
            <w:pPr>
              <w:jc w:val="center"/>
              <w:rPr>
                <w:color w:val="000000"/>
                <w:sz w:val="22"/>
                <w:szCs w:val="22"/>
              </w:rPr>
            </w:pPr>
            <w:r w:rsidRPr="00161C1B">
              <w:rPr>
                <w:color w:val="000000"/>
                <w:sz w:val="22"/>
                <w:szCs w:val="22"/>
              </w:rPr>
              <w:t>4.9</w:t>
            </w:r>
          </w:p>
        </w:tc>
        <w:tc>
          <w:tcPr>
            <w:tcW w:w="708" w:type="dxa"/>
            <w:vAlign w:val="bottom"/>
          </w:tcPr>
          <w:p w:rsidR="00EA2DE1" w:rsidRPr="00161C1B" w:rsidRDefault="00EA2DE1" w:rsidP="00895231">
            <w:pPr>
              <w:jc w:val="center"/>
              <w:rPr>
                <w:color w:val="000000"/>
                <w:sz w:val="22"/>
                <w:szCs w:val="22"/>
              </w:rPr>
            </w:pPr>
            <w:r w:rsidRPr="00161C1B">
              <w:rPr>
                <w:color w:val="000000"/>
                <w:sz w:val="22"/>
                <w:szCs w:val="22"/>
              </w:rPr>
              <w:t>3.8</w:t>
            </w:r>
          </w:p>
        </w:tc>
        <w:tc>
          <w:tcPr>
            <w:tcW w:w="851" w:type="dxa"/>
            <w:vAlign w:val="bottom"/>
          </w:tcPr>
          <w:p w:rsidR="00EA2DE1" w:rsidRPr="00161C1B" w:rsidRDefault="00EA2DE1" w:rsidP="00895231">
            <w:pPr>
              <w:jc w:val="center"/>
              <w:rPr>
                <w:color w:val="000000"/>
                <w:sz w:val="22"/>
                <w:szCs w:val="22"/>
              </w:rPr>
            </w:pPr>
            <w:r w:rsidRPr="00161C1B">
              <w:rPr>
                <w:color w:val="000000"/>
                <w:sz w:val="22"/>
                <w:szCs w:val="22"/>
              </w:rPr>
              <w:t>3.9</w:t>
            </w:r>
          </w:p>
        </w:tc>
        <w:tc>
          <w:tcPr>
            <w:tcW w:w="850" w:type="dxa"/>
            <w:vAlign w:val="bottom"/>
          </w:tcPr>
          <w:p w:rsidR="00EA2DE1" w:rsidRPr="00161C1B" w:rsidRDefault="00EA2DE1" w:rsidP="00895231">
            <w:pPr>
              <w:jc w:val="center"/>
              <w:rPr>
                <w:color w:val="000000"/>
                <w:sz w:val="22"/>
                <w:szCs w:val="22"/>
              </w:rPr>
            </w:pPr>
            <w:r w:rsidRPr="00161C1B">
              <w:rPr>
                <w:color w:val="000000"/>
                <w:sz w:val="22"/>
                <w:szCs w:val="22"/>
              </w:rPr>
              <w:t>3.5</w:t>
            </w:r>
          </w:p>
        </w:tc>
        <w:tc>
          <w:tcPr>
            <w:tcW w:w="851" w:type="dxa"/>
            <w:vAlign w:val="bottom"/>
          </w:tcPr>
          <w:p w:rsidR="00EA2DE1" w:rsidRPr="00161C1B" w:rsidRDefault="00EA2DE1" w:rsidP="00895231">
            <w:pPr>
              <w:jc w:val="center"/>
              <w:rPr>
                <w:color w:val="000000"/>
                <w:sz w:val="22"/>
                <w:szCs w:val="22"/>
              </w:rPr>
            </w:pPr>
            <w:r w:rsidRPr="00161C1B">
              <w:rPr>
                <w:color w:val="000000"/>
                <w:sz w:val="22"/>
                <w:szCs w:val="22"/>
              </w:rPr>
              <w:t>5.1</w:t>
            </w:r>
          </w:p>
        </w:tc>
      </w:tr>
      <w:tr w:rsidR="00EA2DE1" w:rsidRPr="00161C1B" w:rsidTr="00895231">
        <w:tc>
          <w:tcPr>
            <w:tcW w:w="1124" w:type="dxa"/>
          </w:tcPr>
          <w:p w:rsidR="00EA2DE1" w:rsidRPr="00161C1B" w:rsidRDefault="00EA2DE1" w:rsidP="00895231">
            <w:pPr>
              <w:jc w:val="center"/>
              <w:rPr>
                <w:b/>
                <w:sz w:val="22"/>
                <w:szCs w:val="22"/>
                <w:lang w:val="en-US"/>
              </w:rPr>
            </w:pPr>
            <w:r w:rsidRPr="00161C1B">
              <w:rPr>
                <w:b/>
                <w:sz w:val="22"/>
                <w:szCs w:val="22"/>
                <w:lang w:val="en-US"/>
              </w:rPr>
              <w:t>ENPP</w:t>
            </w:r>
          </w:p>
        </w:tc>
        <w:tc>
          <w:tcPr>
            <w:tcW w:w="1111" w:type="dxa"/>
            <w:vAlign w:val="bottom"/>
          </w:tcPr>
          <w:p w:rsidR="00EA2DE1" w:rsidRPr="00161C1B" w:rsidRDefault="00EA2DE1" w:rsidP="00895231">
            <w:pPr>
              <w:jc w:val="center"/>
              <w:rPr>
                <w:color w:val="000000"/>
                <w:sz w:val="22"/>
                <w:szCs w:val="22"/>
              </w:rPr>
            </w:pPr>
            <w:r w:rsidRPr="00161C1B">
              <w:rPr>
                <w:color w:val="000000"/>
                <w:sz w:val="22"/>
                <w:szCs w:val="22"/>
              </w:rPr>
              <w:t>5.2</w:t>
            </w:r>
          </w:p>
        </w:tc>
        <w:tc>
          <w:tcPr>
            <w:tcW w:w="845" w:type="dxa"/>
            <w:vAlign w:val="bottom"/>
          </w:tcPr>
          <w:p w:rsidR="00EA2DE1" w:rsidRPr="00161C1B" w:rsidRDefault="00EA2DE1" w:rsidP="00895231">
            <w:pPr>
              <w:jc w:val="center"/>
              <w:rPr>
                <w:color w:val="000000"/>
                <w:sz w:val="22"/>
                <w:szCs w:val="22"/>
              </w:rPr>
            </w:pPr>
            <w:r w:rsidRPr="00161C1B">
              <w:rPr>
                <w:color w:val="000000"/>
                <w:sz w:val="22"/>
                <w:szCs w:val="22"/>
              </w:rPr>
              <w:t>3.7</w:t>
            </w:r>
          </w:p>
        </w:tc>
        <w:tc>
          <w:tcPr>
            <w:tcW w:w="656" w:type="dxa"/>
            <w:vAlign w:val="bottom"/>
          </w:tcPr>
          <w:p w:rsidR="00EA2DE1" w:rsidRPr="00161C1B" w:rsidRDefault="00EA2DE1" w:rsidP="00895231">
            <w:pPr>
              <w:jc w:val="center"/>
              <w:rPr>
                <w:color w:val="000000"/>
                <w:sz w:val="22"/>
                <w:szCs w:val="22"/>
              </w:rPr>
            </w:pPr>
            <w:r w:rsidRPr="00161C1B">
              <w:rPr>
                <w:color w:val="000000"/>
                <w:sz w:val="22"/>
                <w:szCs w:val="22"/>
              </w:rPr>
              <w:t>4.8</w:t>
            </w:r>
          </w:p>
        </w:tc>
        <w:tc>
          <w:tcPr>
            <w:tcW w:w="830" w:type="dxa"/>
            <w:vAlign w:val="bottom"/>
          </w:tcPr>
          <w:p w:rsidR="00EA2DE1" w:rsidRPr="00161C1B" w:rsidRDefault="00EA2DE1" w:rsidP="00895231">
            <w:pPr>
              <w:jc w:val="center"/>
              <w:rPr>
                <w:color w:val="000000"/>
                <w:sz w:val="22"/>
                <w:szCs w:val="22"/>
              </w:rPr>
            </w:pPr>
            <w:r w:rsidRPr="00161C1B">
              <w:rPr>
                <w:color w:val="000000"/>
                <w:sz w:val="22"/>
                <w:szCs w:val="22"/>
              </w:rPr>
              <w:t>3.1</w:t>
            </w:r>
          </w:p>
        </w:tc>
        <w:tc>
          <w:tcPr>
            <w:tcW w:w="1071" w:type="dxa"/>
            <w:vAlign w:val="bottom"/>
          </w:tcPr>
          <w:p w:rsidR="00EA2DE1" w:rsidRPr="00161C1B" w:rsidRDefault="00EA2DE1" w:rsidP="00895231">
            <w:pPr>
              <w:jc w:val="center"/>
              <w:rPr>
                <w:color w:val="000000"/>
                <w:sz w:val="22"/>
                <w:szCs w:val="22"/>
              </w:rPr>
            </w:pPr>
            <w:r w:rsidRPr="00161C1B">
              <w:rPr>
                <w:color w:val="000000"/>
                <w:sz w:val="22"/>
                <w:szCs w:val="22"/>
              </w:rPr>
              <w:t>4.4</w:t>
            </w:r>
          </w:p>
        </w:tc>
        <w:tc>
          <w:tcPr>
            <w:tcW w:w="708" w:type="dxa"/>
            <w:vAlign w:val="bottom"/>
          </w:tcPr>
          <w:p w:rsidR="00EA2DE1" w:rsidRPr="00161C1B" w:rsidRDefault="00EA2DE1" w:rsidP="00895231">
            <w:pPr>
              <w:jc w:val="center"/>
              <w:rPr>
                <w:color w:val="000000"/>
                <w:sz w:val="22"/>
                <w:szCs w:val="22"/>
              </w:rPr>
            </w:pPr>
            <w:r w:rsidRPr="00161C1B">
              <w:rPr>
                <w:color w:val="000000"/>
                <w:sz w:val="22"/>
                <w:szCs w:val="22"/>
              </w:rPr>
              <w:t>3.6</w:t>
            </w:r>
          </w:p>
        </w:tc>
        <w:tc>
          <w:tcPr>
            <w:tcW w:w="851" w:type="dxa"/>
            <w:vAlign w:val="bottom"/>
          </w:tcPr>
          <w:p w:rsidR="00EA2DE1" w:rsidRPr="00161C1B" w:rsidRDefault="00EA2DE1" w:rsidP="00895231">
            <w:pPr>
              <w:jc w:val="center"/>
              <w:rPr>
                <w:color w:val="000000"/>
                <w:sz w:val="22"/>
                <w:szCs w:val="22"/>
              </w:rPr>
            </w:pPr>
            <w:r w:rsidRPr="00161C1B">
              <w:rPr>
                <w:color w:val="000000"/>
                <w:sz w:val="22"/>
                <w:szCs w:val="22"/>
              </w:rPr>
              <w:t>3.5</w:t>
            </w:r>
          </w:p>
        </w:tc>
        <w:tc>
          <w:tcPr>
            <w:tcW w:w="850" w:type="dxa"/>
            <w:vAlign w:val="bottom"/>
          </w:tcPr>
          <w:p w:rsidR="00EA2DE1" w:rsidRPr="00161C1B" w:rsidRDefault="00EA2DE1" w:rsidP="00895231">
            <w:pPr>
              <w:jc w:val="center"/>
              <w:rPr>
                <w:color w:val="000000"/>
                <w:sz w:val="22"/>
                <w:szCs w:val="22"/>
              </w:rPr>
            </w:pPr>
            <w:r w:rsidRPr="00161C1B">
              <w:rPr>
                <w:color w:val="000000"/>
                <w:sz w:val="22"/>
                <w:szCs w:val="22"/>
              </w:rPr>
              <w:t>3.2</w:t>
            </w:r>
          </w:p>
        </w:tc>
        <w:tc>
          <w:tcPr>
            <w:tcW w:w="851" w:type="dxa"/>
            <w:vAlign w:val="bottom"/>
          </w:tcPr>
          <w:p w:rsidR="00EA2DE1" w:rsidRPr="00161C1B" w:rsidRDefault="00EA2DE1" w:rsidP="00895231">
            <w:pPr>
              <w:jc w:val="center"/>
              <w:rPr>
                <w:color w:val="000000"/>
                <w:sz w:val="22"/>
                <w:szCs w:val="22"/>
              </w:rPr>
            </w:pPr>
            <w:r w:rsidRPr="00161C1B">
              <w:rPr>
                <w:color w:val="000000"/>
                <w:sz w:val="22"/>
                <w:szCs w:val="22"/>
              </w:rPr>
              <w:t>4.3</w:t>
            </w:r>
          </w:p>
        </w:tc>
      </w:tr>
      <w:tr w:rsidR="00EA2DE1" w:rsidRPr="00161C1B" w:rsidTr="00895231">
        <w:tc>
          <w:tcPr>
            <w:tcW w:w="1124" w:type="dxa"/>
          </w:tcPr>
          <w:p w:rsidR="00EA2DE1" w:rsidRPr="00161C1B" w:rsidRDefault="00EA2DE1" w:rsidP="00895231">
            <w:pPr>
              <w:jc w:val="center"/>
              <w:rPr>
                <w:b/>
                <w:sz w:val="22"/>
                <w:szCs w:val="22"/>
                <w:lang w:val="en-US"/>
              </w:rPr>
            </w:pPr>
            <w:r w:rsidRPr="00161C1B">
              <w:rPr>
                <w:b/>
                <w:sz w:val="22"/>
                <w:szCs w:val="22"/>
                <w:lang w:val="en-US"/>
              </w:rPr>
              <w:t>Spoiled ballots</w:t>
            </w:r>
          </w:p>
        </w:tc>
        <w:tc>
          <w:tcPr>
            <w:tcW w:w="1111" w:type="dxa"/>
          </w:tcPr>
          <w:p w:rsidR="00EA2DE1" w:rsidRPr="00161C1B" w:rsidRDefault="00EA2DE1" w:rsidP="00895231">
            <w:pPr>
              <w:jc w:val="center"/>
              <w:rPr>
                <w:sz w:val="22"/>
                <w:szCs w:val="22"/>
                <w:lang w:val="en-US"/>
              </w:rPr>
            </w:pPr>
            <w:r w:rsidRPr="00161C1B">
              <w:rPr>
                <w:sz w:val="22"/>
                <w:szCs w:val="22"/>
                <w:lang w:val="en-US"/>
              </w:rPr>
              <w:t>0.9</w:t>
            </w:r>
          </w:p>
        </w:tc>
        <w:tc>
          <w:tcPr>
            <w:tcW w:w="845" w:type="dxa"/>
          </w:tcPr>
          <w:p w:rsidR="00EA2DE1" w:rsidRPr="00161C1B" w:rsidRDefault="00EA2DE1" w:rsidP="00895231">
            <w:pPr>
              <w:jc w:val="center"/>
              <w:rPr>
                <w:sz w:val="22"/>
                <w:szCs w:val="22"/>
                <w:lang w:val="en-US"/>
              </w:rPr>
            </w:pPr>
            <w:r w:rsidRPr="00161C1B">
              <w:rPr>
                <w:sz w:val="22"/>
                <w:szCs w:val="22"/>
                <w:lang w:val="en-US"/>
              </w:rPr>
              <w:t>0.8</w:t>
            </w:r>
          </w:p>
        </w:tc>
        <w:tc>
          <w:tcPr>
            <w:tcW w:w="656" w:type="dxa"/>
          </w:tcPr>
          <w:p w:rsidR="00EA2DE1" w:rsidRPr="00161C1B" w:rsidRDefault="00EA2DE1" w:rsidP="00895231">
            <w:pPr>
              <w:jc w:val="center"/>
              <w:rPr>
                <w:sz w:val="22"/>
                <w:szCs w:val="22"/>
                <w:lang w:val="en-US"/>
              </w:rPr>
            </w:pPr>
            <w:r w:rsidRPr="00161C1B">
              <w:rPr>
                <w:sz w:val="22"/>
                <w:szCs w:val="22"/>
                <w:lang w:val="en-US"/>
              </w:rPr>
              <w:t>0.9</w:t>
            </w:r>
          </w:p>
        </w:tc>
        <w:tc>
          <w:tcPr>
            <w:tcW w:w="830" w:type="dxa"/>
          </w:tcPr>
          <w:p w:rsidR="00EA2DE1" w:rsidRPr="00161C1B" w:rsidRDefault="00EA2DE1" w:rsidP="00895231">
            <w:pPr>
              <w:jc w:val="center"/>
              <w:rPr>
                <w:sz w:val="22"/>
                <w:szCs w:val="22"/>
                <w:lang w:val="en-US"/>
              </w:rPr>
            </w:pPr>
            <w:r w:rsidRPr="00161C1B">
              <w:rPr>
                <w:sz w:val="22"/>
                <w:szCs w:val="22"/>
                <w:lang w:val="en-US"/>
              </w:rPr>
              <w:t>0.5</w:t>
            </w:r>
          </w:p>
        </w:tc>
        <w:tc>
          <w:tcPr>
            <w:tcW w:w="1071" w:type="dxa"/>
          </w:tcPr>
          <w:p w:rsidR="00EA2DE1" w:rsidRPr="00161C1B" w:rsidRDefault="00EA2DE1" w:rsidP="00895231">
            <w:pPr>
              <w:jc w:val="center"/>
              <w:rPr>
                <w:sz w:val="22"/>
                <w:szCs w:val="22"/>
                <w:lang w:val="en-US"/>
              </w:rPr>
            </w:pPr>
            <w:r w:rsidRPr="00161C1B">
              <w:rPr>
                <w:sz w:val="22"/>
                <w:szCs w:val="22"/>
                <w:lang w:val="en-US"/>
              </w:rPr>
              <w:t>0.5</w:t>
            </w:r>
          </w:p>
        </w:tc>
        <w:tc>
          <w:tcPr>
            <w:tcW w:w="708" w:type="dxa"/>
          </w:tcPr>
          <w:p w:rsidR="00EA2DE1" w:rsidRPr="00161C1B" w:rsidRDefault="00EA2DE1" w:rsidP="00895231">
            <w:pPr>
              <w:jc w:val="center"/>
              <w:rPr>
                <w:sz w:val="22"/>
                <w:szCs w:val="22"/>
                <w:lang w:val="en-US"/>
              </w:rPr>
            </w:pPr>
            <w:r w:rsidRPr="00161C1B">
              <w:rPr>
                <w:sz w:val="22"/>
                <w:szCs w:val="22"/>
                <w:lang w:val="en-US"/>
              </w:rPr>
              <w:t>0.6</w:t>
            </w:r>
          </w:p>
        </w:tc>
        <w:tc>
          <w:tcPr>
            <w:tcW w:w="851" w:type="dxa"/>
          </w:tcPr>
          <w:p w:rsidR="00EA2DE1" w:rsidRPr="00161C1B" w:rsidRDefault="00EA2DE1" w:rsidP="00895231">
            <w:pPr>
              <w:jc w:val="center"/>
              <w:rPr>
                <w:sz w:val="22"/>
                <w:szCs w:val="22"/>
                <w:lang w:val="en-US"/>
              </w:rPr>
            </w:pPr>
            <w:r w:rsidRPr="00161C1B">
              <w:rPr>
                <w:sz w:val="22"/>
                <w:szCs w:val="22"/>
                <w:lang w:val="en-US"/>
              </w:rPr>
              <w:t>6.5</w:t>
            </w:r>
          </w:p>
        </w:tc>
        <w:tc>
          <w:tcPr>
            <w:tcW w:w="850" w:type="dxa"/>
          </w:tcPr>
          <w:p w:rsidR="00EA2DE1" w:rsidRPr="00161C1B" w:rsidRDefault="00EA2DE1" w:rsidP="00895231">
            <w:pPr>
              <w:jc w:val="center"/>
              <w:rPr>
                <w:sz w:val="22"/>
                <w:szCs w:val="22"/>
                <w:lang w:val="en-US"/>
              </w:rPr>
            </w:pPr>
            <w:r w:rsidRPr="00161C1B">
              <w:rPr>
                <w:sz w:val="22"/>
                <w:szCs w:val="22"/>
                <w:lang w:val="en-US"/>
              </w:rPr>
              <w:t>3.9</w:t>
            </w:r>
          </w:p>
        </w:tc>
        <w:tc>
          <w:tcPr>
            <w:tcW w:w="851" w:type="dxa"/>
          </w:tcPr>
          <w:p w:rsidR="00EA2DE1" w:rsidRPr="00161C1B" w:rsidRDefault="00EA2DE1" w:rsidP="00895231">
            <w:pPr>
              <w:jc w:val="center"/>
              <w:rPr>
                <w:sz w:val="22"/>
                <w:szCs w:val="22"/>
                <w:lang w:val="en-US"/>
              </w:rPr>
            </w:pPr>
            <w:r w:rsidRPr="00161C1B">
              <w:rPr>
                <w:sz w:val="22"/>
                <w:szCs w:val="22"/>
                <w:lang w:val="en-US"/>
              </w:rPr>
              <w:t>2.5</w:t>
            </w:r>
          </w:p>
        </w:tc>
      </w:tr>
      <w:tr w:rsidR="00EA2DE1" w:rsidRPr="00161C1B" w:rsidTr="00895231">
        <w:trPr>
          <w:trHeight w:val="475"/>
        </w:trPr>
        <w:tc>
          <w:tcPr>
            <w:tcW w:w="1124" w:type="dxa"/>
            <w:vMerge w:val="restart"/>
          </w:tcPr>
          <w:p w:rsidR="00EA2DE1" w:rsidRPr="00161C1B" w:rsidRDefault="00EA2DE1" w:rsidP="00895231">
            <w:pPr>
              <w:jc w:val="center"/>
              <w:rPr>
                <w:b/>
                <w:sz w:val="22"/>
                <w:szCs w:val="22"/>
                <w:lang w:val="en-US"/>
              </w:rPr>
            </w:pPr>
          </w:p>
          <w:p w:rsidR="00EA2DE1" w:rsidRPr="00161C1B" w:rsidRDefault="00EA2DE1" w:rsidP="00895231">
            <w:pPr>
              <w:jc w:val="center"/>
              <w:rPr>
                <w:b/>
                <w:sz w:val="22"/>
                <w:szCs w:val="22"/>
                <w:lang w:val="en-US"/>
              </w:rPr>
            </w:pPr>
            <w:r w:rsidRPr="00161C1B">
              <w:rPr>
                <w:b/>
                <w:sz w:val="22"/>
                <w:szCs w:val="22"/>
                <w:lang w:val="en-US"/>
              </w:rPr>
              <w:t>Cabinets</w:t>
            </w:r>
          </w:p>
        </w:tc>
        <w:tc>
          <w:tcPr>
            <w:tcW w:w="1111" w:type="dxa"/>
            <w:vMerge w:val="restart"/>
          </w:tcPr>
          <w:p w:rsidR="00EA2DE1" w:rsidRPr="00161C1B" w:rsidRDefault="00EA2DE1" w:rsidP="00895231">
            <w:pPr>
              <w:jc w:val="center"/>
              <w:rPr>
                <w:sz w:val="22"/>
                <w:szCs w:val="22"/>
                <w:lang w:val="en-US"/>
              </w:rPr>
            </w:pPr>
            <w:r w:rsidRPr="00161C1B">
              <w:rPr>
                <w:sz w:val="22"/>
                <w:szCs w:val="22"/>
                <w:lang w:val="en-US"/>
              </w:rPr>
              <w:t>UCD-PSN-HB-</w:t>
            </w:r>
            <w:proofErr w:type="spellStart"/>
            <w:r w:rsidRPr="00161C1B">
              <w:rPr>
                <w:sz w:val="22"/>
                <w:szCs w:val="22"/>
                <w:lang w:val="en-US"/>
              </w:rPr>
              <w:t>Amaiur</w:t>
            </w:r>
            <w:proofErr w:type="spellEnd"/>
          </w:p>
        </w:tc>
        <w:tc>
          <w:tcPr>
            <w:tcW w:w="845" w:type="dxa"/>
            <w:vMerge w:val="restart"/>
          </w:tcPr>
          <w:p w:rsidR="00EA2DE1" w:rsidRPr="00161C1B" w:rsidRDefault="00EA2DE1" w:rsidP="00895231">
            <w:pPr>
              <w:jc w:val="center"/>
              <w:rPr>
                <w:sz w:val="22"/>
                <w:szCs w:val="22"/>
                <w:lang w:val="en-US"/>
              </w:rPr>
            </w:pPr>
          </w:p>
          <w:p w:rsidR="00EA2DE1" w:rsidRPr="00161C1B" w:rsidRDefault="00EA2DE1" w:rsidP="00895231">
            <w:pPr>
              <w:jc w:val="center"/>
              <w:rPr>
                <w:sz w:val="22"/>
                <w:szCs w:val="22"/>
                <w:lang w:val="en-US"/>
              </w:rPr>
            </w:pPr>
            <w:r w:rsidRPr="00161C1B">
              <w:rPr>
                <w:sz w:val="22"/>
                <w:szCs w:val="22"/>
                <w:lang w:val="en-US"/>
              </w:rPr>
              <w:t>PSN</w:t>
            </w:r>
          </w:p>
        </w:tc>
        <w:tc>
          <w:tcPr>
            <w:tcW w:w="656" w:type="dxa"/>
            <w:vMerge w:val="restart"/>
          </w:tcPr>
          <w:p w:rsidR="00EA2DE1" w:rsidRPr="00161C1B" w:rsidRDefault="00EA2DE1" w:rsidP="00895231">
            <w:pPr>
              <w:jc w:val="center"/>
              <w:rPr>
                <w:sz w:val="22"/>
                <w:szCs w:val="22"/>
                <w:lang w:val="en-US"/>
              </w:rPr>
            </w:pPr>
          </w:p>
          <w:p w:rsidR="00EA2DE1" w:rsidRPr="00161C1B" w:rsidRDefault="00EA2DE1" w:rsidP="00895231">
            <w:pPr>
              <w:jc w:val="center"/>
              <w:rPr>
                <w:sz w:val="22"/>
                <w:szCs w:val="22"/>
                <w:lang w:val="en-US"/>
              </w:rPr>
            </w:pPr>
            <w:r w:rsidRPr="00161C1B">
              <w:rPr>
                <w:sz w:val="22"/>
                <w:szCs w:val="22"/>
                <w:lang w:val="en-US"/>
              </w:rPr>
              <w:t>PSN</w:t>
            </w:r>
          </w:p>
        </w:tc>
        <w:tc>
          <w:tcPr>
            <w:tcW w:w="830" w:type="dxa"/>
            <w:vMerge w:val="restart"/>
          </w:tcPr>
          <w:p w:rsidR="00EA2DE1" w:rsidRPr="00161C1B" w:rsidRDefault="00EA2DE1" w:rsidP="00895231">
            <w:pPr>
              <w:jc w:val="center"/>
              <w:rPr>
                <w:sz w:val="22"/>
                <w:szCs w:val="22"/>
                <w:lang w:val="en-US"/>
              </w:rPr>
            </w:pPr>
          </w:p>
          <w:p w:rsidR="00EA2DE1" w:rsidRPr="00161C1B" w:rsidRDefault="00EA2DE1" w:rsidP="00895231">
            <w:pPr>
              <w:jc w:val="center"/>
              <w:rPr>
                <w:sz w:val="22"/>
                <w:szCs w:val="22"/>
                <w:lang w:val="en-US"/>
              </w:rPr>
            </w:pPr>
            <w:r w:rsidRPr="00161C1B">
              <w:rPr>
                <w:sz w:val="22"/>
                <w:szCs w:val="22"/>
                <w:lang w:val="en-US"/>
              </w:rPr>
              <w:t>UPN</w:t>
            </w:r>
          </w:p>
        </w:tc>
        <w:tc>
          <w:tcPr>
            <w:tcW w:w="1071" w:type="dxa"/>
          </w:tcPr>
          <w:p w:rsidR="00EA2DE1" w:rsidRPr="00161C1B" w:rsidRDefault="00EA2DE1" w:rsidP="00895231">
            <w:pPr>
              <w:jc w:val="center"/>
              <w:rPr>
                <w:sz w:val="22"/>
                <w:szCs w:val="22"/>
                <w:lang w:val="en-US"/>
              </w:rPr>
            </w:pPr>
            <w:r w:rsidRPr="00161C1B">
              <w:rPr>
                <w:sz w:val="22"/>
                <w:szCs w:val="22"/>
                <w:lang w:val="en-US"/>
              </w:rPr>
              <w:t>PSN-CDN-EA</w:t>
            </w:r>
          </w:p>
        </w:tc>
        <w:tc>
          <w:tcPr>
            <w:tcW w:w="708" w:type="dxa"/>
            <w:vMerge w:val="restart"/>
          </w:tcPr>
          <w:p w:rsidR="00EA2DE1" w:rsidRPr="00161C1B" w:rsidRDefault="00EA2DE1" w:rsidP="00895231">
            <w:pPr>
              <w:jc w:val="center"/>
              <w:rPr>
                <w:sz w:val="22"/>
                <w:szCs w:val="22"/>
                <w:lang w:val="en-US"/>
              </w:rPr>
            </w:pPr>
          </w:p>
          <w:p w:rsidR="00EA2DE1" w:rsidRPr="00161C1B" w:rsidRDefault="00EA2DE1" w:rsidP="00895231">
            <w:pPr>
              <w:jc w:val="center"/>
              <w:rPr>
                <w:sz w:val="22"/>
                <w:szCs w:val="22"/>
                <w:lang w:val="en-US"/>
              </w:rPr>
            </w:pPr>
            <w:r w:rsidRPr="00161C1B">
              <w:rPr>
                <w:sz w:val="22"/>
                <w:szCs w:val="22"/>
                <w:lang w:val="en-US"/>
              </w:rPr>
              <w:t>UPN</w:t>
            </w:r>
          </w:p>
        </w:tc>
        <w:tc>
          <w:tcPr>
            <w:tcW w:w="851" w:type="dxa"/>
            <w:vMerge w:val="restart"/>
          </w:tcPr>
          <w:p w:rsidR="00EA2DE1" w:rsidRPr="00161C1B" w:rsidRDefault="00EA2DE1" w:rsidP="00895231">
            <w:pPr>
              <w:jc w:val="center"/>
              <w:rPr>
                <w:sz w:val="22"/>
                <w:szCs w:val="22"/>
                <w:lang w:val="en-US"/>
              </w:rPr>
            </w:pPr>
          </w:p>
          <w:p w:rsidR="00EA2DE1" w:rsidRPr="00161C1B" w:rsidRDefault="00EA2DE1" w:rsidP="00895231">
            <w:pPr>
              <w:jc w:val="center"/>
              <w:rPr>
                <w:sz w:val="22"/>
                <w:szCs w:val="22"/>
                <w:lang w:val="en-US"/>
              </w:rPr>
            </w:pPr>
            <w:r w:rsidRPr="00161C1B">
              <w:rPr>
                <w:sz w:val="22"/>
                <w:szCs w:val="22"/>
                <w:lang w:val="en-US"/>
              </w:rPr>
              <w:t>UPN-CDN</w:t>
            </w:r>
          </w:p>
        </w:tc>
        <w:tc>
          <w:tcPr>
            <w:tcW w:w="850" w:type="dxa"/>
          </w:tcPr>
          <w:p w:rsidR="00EA2DE1" w:rsidRPr="00161C1B" w:rsidRDefault="00EA2DE1" w:rsidP="00895231">
            <w:pPr>
              <w:jc w:val="center"/>
              <w:rPr>
                <w:sz w:val="22"/>
                <w:szCs w:val="22"/>
                <w:lang w:val="en-US"/>
              </w:rPr>
            </w:pPr>
            <w:r w:rsidRPr="00161C1B">
              <w:rPr>
                <w:sz w:val="22"/>
                <w:szCs w:val="22"/>
                <w:lang w:val="en-US"/>
              </w:rPr>
              <w:t>UPN-CDN</w:t>
            </w:r>
          </w:p>
        </w:tc>
        <w:tc>
          <w:tcPr>
            <w:tcW w:w="851" w:type="dxa"/>
          </w:tcPr>
          <w:p w:rsidR="00EA2DE1" w:rsidRPr="00161C1B" w:rsidRDefault="00EA2DE1" w:rsidP="00895231">
            <w:pPr>
              <w:jc w:val="center"/>
              <w:rPr>
                <w:sz w:val="22"/>
                <w:szCs w:val="22"/>
                <w:lang w:val="en-US"/>
              </w:rPr>
            </w:pPr>
            <w:r w:rsidRPr="00161C1B">
              <w:rPr>
                <w:sz w:val="22"/>
                <w:szCs w:val="22"/>
                <w:lang w:val="en-US"/>
              </w:rPr>
              <w:t>UPN-PSN</w:t>
            </w:r>
          </w:p>
        </w:tc>
      </w:tr>
      <w:tr w:rsidR="00EA2DE1" w:rsidRPr="00161C1B" w:rsidTr="00895231">
        <w:tc>
          <w:tcPr>
            <w:tcW w:w="1124" w:type="dxa"/>
            <w:vMerge/>
          </w:tcPr>
          <w:p w:rsidR="00EA2DE1" w:rsidRPr="00161C1B" w:rsidRDefault="00EA2DE1" w:rsidP="00895231">
            <w:pPr>
              <w:jc w:val="center"/>
              <w:rPr>
                <w:sz w:val="22"/>
                <w:szCs w:val="22"/>
                <w:lang w:val="en-US"/>
              </w:rPr>
            </w:pPr>
          </w:p>
        </w:tc>
        <w:tc>
          <w:tcPr>
            <w:tcW w:w="1111" w:type="dxa"/>
            <w:vMerge/>
          </w:tcPr>
          <w:p w:rsidR="00EA2DE1" w:rsidRPr="00161C1B" w:rsidRDefault="00EA2DE1" w:rsidP="00895231">
            <w:pPr>
              <w:jc w:val="center"/>
              <w:rPr>
                <w:sz w:val="22"/>
                <w:szCs w:val="22"/>
                <w:lang w:val="en-US"/>
              </w:rPr>
            </w:pPr>
          </w:p>
        </w:tc>
        <w:tc>
          <w:tcPr>
            <w:tcW w:w="845" w:type="dxa"/>
            <w:vMerge/>
          </w:tcPr>
          <w:p w:rsidR="00EA2DE1" w:rsidRPr="00161C1B" w:rsidRDefault="00EA2DE1" w:rsidP="00895231">
            <w:pPr>
              <w:jc w:val="center"/>
              <w:rPr>
                <w:sz w:val="22"/>
                <w:szCs w:val="22"/>
                <w:lang w:val="en-US"/>
              </w:rPr>
            </w:pPr>
          </w:p>
        </w:tc>
        <w:tc>
          <w:tcPr>
            <w:tcW w:w="656" w:type="dxa"/>
            <w:vMerge/>
          </w:tcPr>
          <w:p w:rsidR="00EA2DE1" w:rsidRPr="00161C1B" w:rsidRDefault="00EA2DE1" w:rsidP="00895231">
            <w:pPr>
              <w:jc w:val="center"/>
              <w:rPr>
                <w:sz w:val="22"/>
                <w:szCs w:val="22"/>
                <w:lang w:val="en-US"/>
              </w:rPr>
            </w:pPr>
          </w:p>
        </w:tc>
        <w:tc>
          <w:tcPr>
            <w:tcW w:w="830" w:type="dxa"/>
            <w:vMerge/>
          </w:tcPr>
          <w:p w:rsidR="00EA2DE1" w:rsidRPr="00161C1B" w:rsidRDefault="00EA2DE1" w:rsidP="00895231">
            <w:pPr>
              <w:jc w:val="center"/>
              <w:rPr>
                <w:sz w:val="22"/>
                <w:szCs w:val="22"/>
                <w:lang w:val="en-US"/>
              </w:rPr>
            </w:pPr>
          </w:p>
        </w:tc>
        <w:tc>
          <w:tcPr>
            <w:tcW w:w="1071" w:type="dxa"/>
          </w:tcPr>
          <w:p w:rsidR="00EA2DE1" w:rsidRPr="00161C1B" w:rsidRDefault="00EA2DE1" w:rsidP="00895231">
            <w:pPr>
              <w:jc w:val="center"/>
              <w:rPr>
                <w:sz w:val="22"/>
                <w:szCs w:val="22"/>
                <w:lang w:val="en-US"/>
              </w:rPr>
            </w:pPr>
            <w:r w:rsidRPr="00161C1B">
              <w:rPr>
                <w:sz w:val="22"/>
                <w:szCs w:val="22"/>
                <w:lang w:val="en-US"/>
              </w:rPr>
              <w:t>UPN</w:t>
            </w:r>
          </w:p>
        </w:tc>
        <w:tc>
          <w:tcPr>
            <w:tcW w:w="708" w:type="dxa"/>
            <w:vMerge/>
          </w:tcPr>
          <w:p w:rsidR="00EA2DE1" w:rsidRPr="00161C1B" w:rsidRDefault="00EA2DE1" w:rsidP="00895231">
            <w:pPr>
              <w:jc w:val="center"/>
              <w:rPr>
                <w:sz w:val="22"/>
                <w:szCs w:val="22"/>
                <w:lang w:val="en-US"/>
              </w:rPr>
            </w:pPr>
          </w:p>
        </w:tc>
        <w:tc>
          <w:tcPr>
            <w:tcW w:w="851" w:type="dxa"/>
            <w:vMerge/>
          </w:tcPr>
          <w:p w:rsidR="00EA2DE1" w:rsidRPr="00161C1B" w:rsidRDefault="00EA2DE1" w:rsidP="00895231">
            <w:pPr>
              <w:jc w:val="center"/>
              <w:rPr>
                <w:sz w:val="22"/>
                <w:szCs w:val="22"/>
                <w:lang w:val="en-US"/>
              </w:rPr>
            </w:pPr>
          </w:p>
        </w:tc>
        <w:tc>
          <w:tcPr>
            <w:tcW w:w="850" w:type="dxa"/>
          </w:tcPr>
          <w:p w:rsidR="00EA2DE1" w:rsidRPr="00161C1B" w:rsidRDefault="00EA2DE1" w:rsidP="00895231">
            <w:pPr>
              <w:jc w:val="center"/>
              <w:rPr>
                <w:sz w:val="22"/>
                <w:szCs w:val="22"/>
                <w:lang w:val="en-US"/>
              </w:rPr>
            </w:pPr>
            <w:r w:rsidRPr="00161C1B">
              <w:rPr>
                <w:sz w:val="22"/>
                <w:szCs w:val="22"/>
                <w:lang w:val="en-US"/>
              </w:rPr>
              <w:t>UPN</w:t>
            </w:r>
          </w:p>
        </w:tc>
        <w:tc>
          <w:tcPr>
            <w:tcW w:w="851" w:type="dxa"/>
          </w:tcPr>
          <w:p w:rsidR="00EA2DE1" w:rsidRPr="00161C1B" w:rsidRDefault="00EA2DE1" w:rsidP="00895231">
            <w:pPr>
              <w:jc w:val="center"/>
              <w:rPr>
                <w:sz w:val="22"/>
                <w:szCs w:val="22"/>
                <w:lang w:val="en-US"/>
              </w:rPr>
            </w:pPr>
            <w:r w:rsidRPr="00161C1B">
              <w:rPr>
                <w:sz w:val="22"/>
                <w:szCs w:val="22"/>
                <w:lang w:val="en-US"/>
              </w:rPr>
              <w:t>UPN</w:t>
            </w:r>
          </w:p>
        </w:tc>
      </w:tr>
    </w:tbl>
    <w:p w:rsidR="00EA2DE1" w:rsidRDefault="00EA2DE1" w:rsidP="00161C1B">
      <w:pPr>
        <w:spacing w:after="0" w:line="360" w:lineRule="auto"/>
        <w:jc w:val="both"/>
        <w:rPr>
          <w:rFonts w:ascii="Times New Roman" w:hAnsi="Times New Roman" w:cs="Times New Roman"/>
          <w:sz w:val="24"/>
          <w:szCs w:val="24"/>
          <w:lang w:val="en-US"/>
        </w:rPr>
      </w:pP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Why</w:t>
      </w:r>
      <w:r w:rsidR="00300484">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then</w:t>
      </w:r>
      <w:r w:rsidR="00300484">
        <w:rPr>
          <w:rFonts w:ascii="Times New Roman" w:hAnsi="Times New Roman" w:cs="Times New Roman"/>
          <w:sz w:val="24"/>
          <w:szCs w:val="24"/>
          <w:lang w:val="en-US"/>
        </w:rPr>
        <w:t>, did</w:t>
      </w:r>
      <w:r w:rsidR="005218CD">
        <w:rPr>
          <w:rFonts w:ascii="Times New Roman" w:hAnsi="Times New Roman" w:cs="Times New Roman"/>
          <w:sz w:val="24"/>
          <w:szCs w:val="24"/>
          <w:lang w:val="en-US"/>
        </w:rPr>
        <w:t>n’t</w:t>
      </w:r>
      <w:r w:rsidRPr="00161C1B">
        <w:rPr>
          <w:rFonts w:ascii="Times New Roman" w:hAnsi="Times New Roman" w:cs="Times New Roman"/>
          <w:sz w:val="24"/>
          <w:szCs w:val="24"/>
          <w:lang w:val="en-US"/>
        </w:rPr>
        <w:t xml:space="preserve"> the dissolution of HB contribute to decreas</w:t>
      </w:r>
      <w:r w:rsidR="00300484">
        <w:rPr>
          <w:rFonts w:ascii="Times New Roman" w:hAnsi="Times New Roman" w:cs="Times New Roman"/>
          <w:sz w:val="24"/>
          <w:szCs w:val="24"/>
          <w:lang w:val="en-US"/>
        </w:rPr>
        <w:t>ing</w:t>
      </w:r>
      <w:r w:rsidRPr="00161C1B">
        <w:rPr>
          <w:rFonts w:ascii="Times New Roman" w:hAnsi="Times New Roman" w:cs="Times New Roman"/>
          <w:sz w:val="24"/>
          <w:szCs w:val="24"/>
          <w:lang w:val="en-US"/>
        </w:rPr>
        <w:t xml:space="preserve"> electoral stability in Navarra in 2003? </w:t>
      </w:r>
      <w:r w:rsidR="00300484">
        <w:rPr>
          <w:rFonts w:ascii="Times New Roman" w:hAnsi="Times New Roman" w:cs="Times New Roman"/>
          <w:sz w:val="24"/>
          <w:szCs w:val="24"/>
          <w:lang w:val="en-US"/>
        </w:rPr>
        <w:t>W</w:t>
      </w:r>
      <w:r w:rsidRPr="00161C1B">
        <w:rPr>
          <w:rFonts w:ascii="Times New Roman" w:hAnsi="Times New Roman" w:cs="Times New Roman"/>
          <w:sz w:val="24"/>
          <w:szCs w:val="24"/>
          <w:lang w:val="en-US"/>
        </w:rPr>
        <w:t xml:space="preserve">hen one looks at the particular levels of party volatility between 1999 and 2003, the illegalization of </w:t>
      </w:r>
      <w:proofErr w:type="spellStart"/>
      <w:r w:rsidRPr="00161C1B">
        <w:rPr>
          <w:rFonts w:ascii="Times New Roman" w:hAnsi="Times New Roman" w:cs="Times New Roman"/>
          <w:sz w:val="24"/>
          <w:szCs w:val="24"/>
          <w:lang w:val="en-US"/>
        </w:rPr>
        <w:t>Batasuna</w:t>
      </w:r>
      <w:proofErr w:type="spellEnd"/>
      <w:r w:rsidRPr="00161C1B">
        <w:rPr>
          <w:rFonts w:ascii="Times New Roman" w:hAnsi="Times New Roman" w:cs="Times New Roman"/>
          <w:sz w:val="24"/>
          <w:szCs w:val="24"/>
          <w:lang w:val="en-US"/>
        </w:rPr>
        <w:t xml:space="preserve"> contributed to almost half (2.7) of the TEV (6.3). However, the fact that some groups within the </w:t>
      </w:r>
      <w:proofErr w:type="spellStart"/>
      <w:r w:rsidRPr="00161C1B">
        <w:rPr>
          <w:rFonts w:ascii="Times New Roman" w:hAnsi="Times New Roman" w:cs="Times New Roman"/>
          <w:sz w:val="24"/>
          <w:szCs w:val="24"/>
          <w:lang w:val="en-US"/>
        </w:rPr>
        <w:t>Batasuna</w:t>
      </w:r>
      <w:proofErr w:type="spellEnd"/>
      <w:r w:rsidRPr="00161C1B">
        <w:rPr>
          <w:rFonts w:ascii="Times New Roman" w:hAnsi="Times New Roman" w:cs="Times New Roman"/>
          <w:sz w:val="24"/>
          <w:szCs w:val="24"/>
          <w:lang w:val="en-US"/>
        </w:rPr>
        <w:t xml:space="preserve"> (mainly </w:t>
      </w:r>
      <w:proofErr w:type="spellStart"/>
      <w:r w:rsidRPr="00161C1B">
        <w:rPr>
          <w:rFonts w:ascii="Times New Roman" w:hAnsi="Times New Roman" w:cs="Times New Roman"/>
          <w:sz w:val="24"/>
          <w:szCs w:val="24"/>
          <w:lang w:val="en-US"/>
        </w:rPr>
        <w:t>Aralar</w:t>
      </w:r>
      <w:proofErr w:type="spellEnd"/>
      <w:r w:rsidRPr="00161C1B">
        <w:rPr>
          <w:rFonts w:ascii="Times New Roman" w:hAnsi="Times New Roman" w:cs="Times New Roman"/>
          <w:sz w:val="24"/>
          <w:szCs w:val="24"/>
          <w:lang w:val="en-US"/>
        </w:rPr>
        <w:t xml:space="preserve"> and </w:t>
      </w:r>
      <w:proofErr w:type="spellStart"/>
      <w:r w:rsidRPr="00161C1B">
        <w:rPr>
          <w:rFonts w:ascii="Times New Roman" w:hAnsi="Times New Roman" w:cs="Times New Roman"/>
          <w:sz w:val="24"/>
          <w:szCs w:val="24"/>
          <w:lang w:val="en-US"/>
        </w:rPr>
        <w:t>Bazarre</w:t>
      </w:r>
      <w:proofErr w:type="spellEnd"/>
      <w:r w:rsidRPr="00161C1B">
        <w:rPr>
          <w:rFonts w:ascii="Times New Roman" w:hAnsi="Times New Roman" w:cs="Times New Roman"/>
          <w:sz w:val="24"/>
          <w:szCs w:val="24"/>
          <w:lang w:val="en-US"/>
        </w:rPr>
        <w:t>) decided to depart from the majoritarian current within the coalition, opposed to a condemnation of ETA´s violence, exponentially reduces the TEV final score at the aggregate level.</w:t>
      </w:r>
      <w:r w:rsidRPr="00161C1B">
        <w:rPr>
          <w:rStyle w:val="FootnoteReference"/>
          <w:rFonts w:ascii="Times New Roman" w:hAnsi="Times New Roman" w:cs="Times New Roman"/>
          <w:sz w:val="24"/>
          <w:szCs w:val="24"/>
          <w:lang w:val="en-US"/>
        </w:rPr>
        <w:footnoteReference w:id="22"/>
      </w:r>
    </w:p>
    <w:p w:rsidR="00EA2DE1" w:rsidRDefault="00EA2DE1" w:rsidP="00161C1B">
      <w:pPr>
        <w:spacing w:after="0" w:line="360" w:lineRule="auto"/>
        <w:jc w:val="both"/>
        <w:rPr>
          <w:rFonts w:ascii="Times New Roman" w:hAnsi="Times New Roman" w:cs="Times New Roman"/>
          <w:sz w:val="24"/>
          <w:szCs w:val="24"/>
          <w:lang w:val="en-US"/>
        </w:rPr>
      </w:pP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Indeed, the clearest </w:t>
      </w:r>
      <w:r w:rsidR="00300484">
        <w:rPr>
          <w:rFonts w:ascii="Times New Roman" w:hAnsi="Times New Roman" w:cs="Times New Roman"/>
          <w:sz w:val="24"/>
          <w:szCs w:val="24"/>
          <w:lang w:val="en-US"/>
        </w:rPr>
        <w:t xml:space="preserve">evidence </w:t>
      </w:r>
      <w:r w:rsidRPr="00161C1B">
        <w:rPr>
          <w:rFonts w:ascii="Times New Roman" w:hAnsi="Times New Roman" w:cs="Times New Roman"/>
          <w:sz w:val="24"/>
          <w:szCs w:val="24"/>
          <w:lang w:val="en-US"/>
        </w:rPr>
        <w:t xml:space="preserve">that the prohibition of </w:t>
      </w:r>
      <w:proofErr w:type="spellStart"/>
      <w:r w:rsidRPr="00161C1B">
        <w:rPr>
          <w:rFonts w:ascii="Times New Roman" w:hAnsi="Times New Roman" w:cs="Times New Roman"/>
          <w:sz w:val="24"/>
          <w:szCs w:val="24"/>
          <w:lang w:val="en-US"/>
        </w:rPr>
        <w:t>Batasuna</w:t>
      </w:r>
      <w:proofErr w:type="spellEnd"/>
      <w:r w:rsidRPr="00161C1B">
        <w:rPr>
          <w:rFonts w:ascii="Times New Roman" w:hAnsi="Times New Roman" w:cs="Times New Roman"/>
          <w:sz w:val="24"/>
          <w:szCs w:val="24"/>
          <w:lang w:val="en-US"/>
        </w:rPr>
        <w:t xml:space="preserve"> in 2003 had an influence </w:t>
      </w:r>
      <w:r w:rsidR="00300484">
        <w:rPr>
          <w:rFonts w:ascii="Times New Roman" w:hAnsi="Times New Roman" w:cs="Times New Roman"/>
          <w:sz w:val="24"/>
          <w:szCs w:val="24"/>
          <w:lang w:val="en-US"/>
        </w:rPr>
        <w:t>o</w:t>
      </w:r>
      <w:r w:rsidRPr="00161C1B">
        <w:rPr>
          <w:rFonts w:ascii="Times New Roman" w:hAnsi="Times New Roman" w:cs="Times New Roman"/>
          <w:sz w:val="24"/>
          <w:szCs w:val="24"/>
          <w:lang w:val="en-US"/>
        </w:rPr>
        <w:t>n the direction of the vote is to be found in the percentage of spoiled ballots (</w:t>
      </w:r>
      <w:r w:rsidR="00300484">
        <w:rPr>
          <w:rFonts w:ascii="Times New Roman" w:hAnsi="Times New Roman" w:cs="Times New Roman"/>
          <w:sz w:val="24"/>
          <w:szCs w:val="24"/>
          <w:lang w:val="en-US"/>
        </w:rPr>
        <w:t>T</w:t>
      </w:r>
      <w:r w:rsidRPr="00161C1B">
        <w:rPr>
          <w:rFonts w:ascii="Times New Roman" w:hAnsi="Times New Roman" w:cs="Times New Roman"/>
          <w:sz w:val="24"/>
          <w:szCs w:val="24"/>
          <w:lang w:val="en-US"/>
        </w:rPr>
        <w:t xml:space="preserve">able </w:t>
      </w:r>
      <w:r w:rsidR="00300484">
        <w:rPr>
          <w:rFonts w:ascii="Times New Roman" w:hAnsi="Times New Roman" w:cs="Times New Roman"/>
          <w:sz w:val="24"/>
          <w:szCs w:val="24"/>
          <w:lang w:val="en-US"/>
        </w:rPr>
        <w:t>7</w:t>
      </w:r>
      <w:r w:rsidRPr="00161C1B">
        <w:rPr>
          <w:rFonts w:ascii="Times New Roman" w:hAnsi="Times New Roman" w:cs="Times New Roman"/>
          <w:sz w:val="24"/>
          <w:szCs w:val="24"/>
          <w:lang w:val="en-US"/>
        </w:rPr>
        <w:t xml:space="preserve">), which would have </w:t>
      </w:r>
      <w:r w:rsidRPr="00161C1B">
        <w:rPr>
          <w:rFonts w:ascii="Times New Roman" w:hAnsi="Times New Roman" w:cs="Times New Roman"/>
          <w:sz w:val="24"/>
          <w:szCs w:val="24"/>
          <w:lang w:val="en-US"/>
        </w:rPr>
        <w:lastRenderedPageBreak/>
        <w:t>mean</w:t>
      </w:r>
      <w:r w:rsidR="00300484">
        <w:rPr>
          <w:rFonts w:ascii="Times New Roman" w:hAnsi="Times New Roman" w:cs="Times New Roman"/>
          <w:sz w:val="24"/>
          <w:szCs w:val="24"/>
          <w:lang w:val="en-US"/>
        </w:rPr>
        <w:t>t</w:t>
      </w:r>
      <w:r w:rsidRPr="00161C1B">
        <w:rPr>
          <w:rFonts w:ascii="Times New Roman" w:hAnsi="Times New Roman" w:cs="Times New Roman"/>
          <w:sz w:val="24"/>
          <w:szCs w:val="24"/>
          <w:lang w:val="en-US"/>
        </w:rPr>
        <w:t xml:space="preserve"> up to 3 seats in the </w:t>
      </w:r>
      <w:proofErr w:type="spellStart"/>
      <w:r w:rsidRPr="00161C1B">
        <w:rPr>
          <w:rFonts w:ascii="Times New Roman" w:hAnsi="Times New Roman" w:cs="Times New Roman"/>
          <w:sz w:val="24"/>
          <w:szCs w:val="24"/>
          <w:lang w:val="en-US"/>
        </w:rPr>
        <w:t>Navarrese</w:t>
      </w:r>
      <w:proofErr w:type="spellEnd"/>
      <w:r w:rsidRPr="00161C1B">
        <w:rPr>
          <w:rFonts w:ascii="Times New Roman" w:hAnsi="Times New Roman" w:cs="Times New Roman"/>
          <w:sz w:val="24"/>
          <w:szCs w:val="24"/>
          <w:lang w:val="en-US"/>
        </w:rPr>
        <w:t xml:space="preserve"> parliament (</w:t>
      </w:r>
      <w:r w:rsidRPr="00161C1B">
        <w:rPr>
          <w:rFonts w:ascii="Times New Roman" w:hAnsi="Times New Roman" w:cs="Times New Roman"/>
          <w:i/>
          <w:sz w:val="24"/>
          <w:szCs w:val="24"/>
          <w:lang w:val="en-US"/>
        </w:rPr>
        <w:t>Cortes de Navarra</w:t>
      </w:r>
      <w:r w:rsidRPr="00161C1B">
        <w:rPr>
          <w:rFonts w:ascii="Times New Roman" w:hAnsi="Times New Roman" w:cs="Times New Roman"/>
          <w:sz w:val="24"/>
          <w:szCs w:val="24"/>
          <w:lang w:val="en-US"/>
        </w:rPr>
        <w:t>). Indeed, the 6.5 percent of spoiled ballots in 2003 meant an increase of roughly 6 percent in relation to the previous elections and 5.8 in comparison to the average level of spoiled ballots between 1979 and 1999. The average level of spoiled ballots continued to be high (3.9) during the next 2007 elections,</w:t>
      </w:r>
      <w:r w:rsidRPr="00161C1B">
        <w:rPr>
          <w:rStyle w:val="FootnoteReference"/>
          <w:rFonts w:ascii="Times New Roman" w:hAnsi="Times New Roman" w:cs="Times New Roman"/>
          <w:sz w:val="24"/>
          <w:szCs w:val="24"/>
          <w:lang w:val="en-US"/>
        </w:rPr>
        <w:footnoteReference w:id="23"/>
      </w:r>
      <w:r w:rsidRPr="00161C1B">
        <w:rPr>
          <w:rFonts w:ascii="Times New Roman" w:hAnsi="Times New Roman" w:cs="Times New Roman"/>
          <w:sz w:val="24"/>
          <w:szCs w:val="24"/>
          <w:lang w:val="en-US"/>
        </w:rPr>
        <w:t xml:space="preserve"> </w:t>
      </w:r>
      <w:r w:rsidR="00F77E81">
        <w:rPr>
          <w:rFonts w:ascii="Times New Roman" w:hAnsi="Times New Roman" w:cs="Times New Roman"/>
          <w:sz w:val="24"/>
          <w:szCs w:val="24"/>
          <w:lang w:val="en-US"/>
        </w:rPr>
        <w:t xml:space="preserve">but </w:t>
      </w:r>
      <w:r w:rsidRPr="00161C1B">
        <w:rPr>
          <w:rFonts w:ascii="Times New Roman" w:hAnsi="Times New Roman" w:cs="Times New Roman"/>
          <w:sz w:val="24"/>
          <w:szCs w:val="24"/>
          <w:lang w:val="en-US"/>
        </w:rPr>
        <w:t>decrease</w:t>
      </w:r>
      <w:r w:rsidR="00F77E81">
        <w:rPr>
          <w:rFonts w:ascii="Times New Roman" w:hAnsi="Times New Roman" w:cs="Times New Roman"/>
          <w:sz w:val="24"/>
          <w:szCs w:val="24"/>
          <w:lang w:val="en-US"/>
        </w:rPr>
        <w:t>d</w:t>
      </w:r>
      <w:r w:rsidRPr="00161C1B">
        <w:rPr>
          <w:rFonts w:ascii="Times New Roman" w:hAnsi="Times New Roman" w:cs="Times New Roman"/>
          <w:sz w:val="24"/>
          <w:szCs w:val="24"/>
          <w:lang w:val="en-US"/>
        </w:rPr>
        <w:t xml:space="preserve"> </w:t>
      </w:r>
      <w:r w:rsidR="00F77E81">
        <w:rPr>
          <w:rFonts w:ascii="Times New Roman" w:hAnsi="Times New Roman" w:cs="Times New Roman"/>
          <w:sz w:val="24"/>
          <w:szCs w:val="24"/>
          <w:lang w:val="en-US"/>
        </w:rPr>
        <w:t>by</w:t>
      </w:r>
      <w:r w:rsidRPr="00161C1B">
        <w:rPr>
          <w:rFonts w:ascii="Times New Roman" w:hAnsi="Times New Roman" w:cs="Times New Roman"/>
          <w:sz w:val="24"/>
          <w:szCs w:val="24"/>
          <w:lang w:val="en-US"/>
        </w:rPr>
        <w:t xml:space="preserve"> more than one point and a half in 2011</w:t>
      </w:r>
      <w:r w:rsidR="00F77E81">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coinciding with the return of the radical nationalist left to the political arena.</w:t>
      </w:r>
    </w:p>
    <w:p w:rsidR="00EA2DE1" w:rsidRDefault="00EA2DE1" w:rsidP="00161C1B">
      <w:pPr>
        <w:spacing w:after="0" w:line="360" w:lineRule="auto"/>
        <w:jc w:val="both"/>
        <w:rPr>
          <w:rFonts w:ascii="Times New Roman" w:hAnsi="Times New Roman" w:cs="Times New Roman"/>
          <w:sz w:val="24"/>
          <w:szCs w:val="24"/>
          <w:lang w:val="en-US"/>
        </w:rPr>
      </w:pP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Because of </w:t>
      </w:r>
      <w:proofErr w:type="spellStart"/>
      <w:r w:rsidR="00F77E81">
        <w:rPr>
          <w:rFonts w:ascii="Times New Roman" w:hAnsi="Times New Roman" w:cs="Times New Roman"/>
          <w:sz w:val="24"/>
          <w:szCs w:val="24"/>
          <w:lang w:val="en-US"/>
        </w:rPr>
        <w:t>Batasuna’s</w:t>
      </w:r>
      <w:proofErr w:type="spellEnd"/>
      <w:r w:rsidR="00F77E81">
        <w:rPr>
          <w:rFonts w:ascii="Times New Roman" w:hAnsi="Times New Roman" w:cs="Times New Roman"/>
          <w:sz w:val="24"/>
          <w:szCs w:val="24"/>
          <w:lang w:val="en-US"/>
        </w:rPr>
        <w:t xml:space="preserve"> split, </w:t>
      </w:r>
      <w:r w:rsidRPr="00161C1B">
        <w:rPr>
          <w:rFonts w:ascii="Times New Roman" w:hAnsi="Times New Roman" w:cs="Times New Roman"/>
          <w:sz w:val="24"/>
          <w:szCs w:val="24"/>
          <w:lang w:val="en-US"/>
        </w:rPr>
        <w:t>and notwithstanding a marginal reduction of the ENPP in 2003 (as expected), it was only in 2011</w:t>
      </w:r>
      <w:r w:rsidR="00847FB9">
        <w:rPr>
          <w:rFonts w:ascii="Times New Roman" w:hAnsi="Times New Roman" w:cs="Times New Roman"/>
          <w:sz w:val="24"/>
          <w:szCs w:val="24"/>
          <w:lang w:val="en-US"/>
        </w:rPr>
        <w:t>, when the party was legalized,</w:t>
      </w:r>
      <w:r w:rsidRPr="00161C1B">
        <w:rPr>
          <w:rFonts w:ascii="Times New Roman" w:hAnsi="Times New Roman" w:cs="Times New Roman"/>
          <w:sz w:val="24"/>
          <w:szCs w:val="24"/>
          <w:lang w:val="en-US"/>
        </w:rPr>
        <w:t xml:space="preserve"> that the format of the </w:t>
      </w:r>
      <w:proofErr w:type="spellStart"/>
      <w:r w:rsidRPr="00161C1B">
        <w:rPr>
          <w:rFonts w:ascii="Times New Roman" w:hAnsi="Times New Roman" w:cs="Times New Roman"/>
          <w:sz w:val="24"/>
          <w:szCs w:val="24"/>
          <w:lang w:val="en-US"/>
        </w:rPr>
        <w:t>Navarrese</w:t>
      </w:r>
      <w:proofErr w:type="spellEnd"/>
      <w:r w:rsidRPr="00161C1B">
        <w:rPr>
          <w:rFonts w:ascii="Times New Roman" w:hAnsi="Times New Roman" w:cs="Times New Roman"/>
          <w:sz w:val="24"/>
          <w:szCs w:val="24"/>
          <w:lang w:val="en-US"/>
        </w:rPr>
        <w:t xml:space="preserve"> party system </w:t>
      </w:r>
      <w:r w:rsidR="00F77E81">
        <w:rPr>
          <w:rFonts w:ascii="Times New Roman" w:hAnsi="Times New Roman" w:cs="Times New Roman"/>
          <w:sz w:val="24"/>
          <w:szCs w:val="24"/>
          <w:lang w:val="en-US"/>
        </w:rPr>
        <w:t xml:space="preserve">was affected by </w:t>
      </w:r>
      <w:r w:rsidRPr="00161C1B">
        <w:rPr>
          <w:rFonts w:ascii="Times New Roman" w:hAnsi="Times New Roman" w:cs="Times New Roman"/>
          <w:sz w:val="24"/>
          <w:szCs w:val="24"/>
          <w:lang w:val="en-US"/>
        </w:rPr>
        <w:t xml:space="preserve">party bans. Thus, the re-emergence of the </w:t>
      </w:r>
      <w:r w:rsidR="00F77E81">
        <w:rPr>
          <w:rFonts w:ascii="Times New Roman" w:hAnsi="Times New Roman" w:cs="Times New Roman"/>
          <w:sz w:val="24"/>
          <w:szCs w:val="24"/>
          <w:lang w:val="en-US"/>
        </w:rPr>
        <w:t xml:space="preserve">radical nationalist left </w:t>
      </w:r>
      <w:r w:rsidRPr="00161C1B">
        <w:rPr>
          <w:rFonts w:ascii="Times New Roman" w:hAnsi="Times New Roman" w:cs="Times New Roman"/>
          <w:sz w:val="24"/>
          <w:szCs w:val="24"/>
          <w:lang w:val="en-US"/>
        </w:rPr>
        <w:t>in 2011 clearly boosted both the ENEP and the ENPP, converting the until then three-party system (</w:t>
      </w:r>
      <w:proofErr w:type="spellStart"/>
      <w:r w:rsidR="00F77E81">
        <w:rPr>
          <w:rFonts w:ascii="Times New Roman" w:hAnsi="Times New Roman" w:cs="Times New Roman"/>
          <w:sz w:val="24"/>
          <w:szCs w:val="24"/>
          <w:lang w:val="en-US"/>
        </w:rPr>
        <w:t>Unionion</w:t>
      </w:r>
      <w:proofErr w:type="spellEnd"/>
      <w:r w:rsidR="00F77E81">
        <w:rPr>
          <w:rFonts w:ascii="Times New Roman" w:hAnsi="Times New Roman" w:cs="Times New Roman"/>
          <w:sz w:val="24"/>
          <w:szCs w:val="24"/>
          <w:lang w:val="en-US"/>
        </w:rPr>
        <w:t xml:space="preserve"> of </w:t>
      </w:r>
      <w:proofErr w:type="spellStart"/>
      <w:r w:rsidR="00F77E81">
        <w:rPr>
          <w:rFonts w:ascii="Times New Roman" w:hAnsi="Times New Roman" w:cs="Times New Roman"/>
          <w:sz w:val="24"/>
          <w:szCs w:val="24"/>
          <w:lang w:val="en-US"/>
        </w:rPr>
        <w:t>Navarese</w:t>
      </w:r>
      <w:proofErr w:type="spellEnd"/>
      <w:r w:rsidR="00F77E81">
        <w:rPr>
          <w:rFonts w:ascii="Times New Roman" w:hAnsi="Times New Roman" w:cs="Times New Roman"/>
          <w:sz w:val="24"/>
          <w:szCs w:val="24"/>
          <w:lang w:val="en-US"/>
        </w:rPr>
        <w:t xml:space="preserve"> People (</w:t>
      </w:r>
      <w:r w:rsidRPr="00161C1B">
        <w:rPr>
          <w:rFonts w:ascii="Times New Roman" w:hAnsi="Times New Roman" w:cs="Times New Roman"/>
          <w:sz w:val="24"/>
          <w:szCs w:val="24"/>
          <w:lang w:val="en-US"/>
        </w:rPr>
        <w:t>UPN</w:t>
      </w:r>
      <w:r w:rsidR="00F77E81">
        <w:rPr>
          <w:rFonts w:ascii="Times New Roman" w:hAnsi="Times New Roman" w:cs="Times New Roman"/>
          <w:sz w:val="24"/>
          <w:szCs w:val="24"/>
          <w:lang w:val="en-US"/>
        </w:rPr>
        <w:t>)</w:t>
      </w:r>
      <w:r w:rsidRPr="00161C1B">
        <w:rPr>
          <w:rFonts w:ascii="Times New Roman" w:hAnsi="Times New Roman" w:cs="Times New Roman"/>
          <w:sz w:val="24"/>
          <w:szCs w:val="24"/>
          <w:lang w:val="en-US"/>
        </w:rPr>
        <w:t>,</w:t>
      </w:r>
      <w:r w:rsidR="00F77E81">
        <w:rPr>
          <w:rFonts w:ascii="Times New Roman" w:hAnsi="Times New Roman" w:cs="Times New Roman"/>
          <w:sz w:val="24"/>
          <w:szCs w:val="24"/>
          <w:lang w:val="en-US"/>
        </w:rPr>
        <w:t xml:space="preserve"> Socialist Party of Navarre (</w:t>
      </w:r>
      <w:r w:rsidRPr="00161C1B">
        <w:rPr>
          <w:rFonts w:ascii="Times New Roman" w:hAnsi="Times New Roman" w:cs="Times New Roman"/>
          <w:sz w:val="24"/>
          <w:szCs w:val="24"/>
          <w:lang w:val="en-US"/>
        </w:rPr>
        <w:t>PSN</w:t>
      </w:r>
      <w:r w:rsidR="00F77E81">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and </w:t>
      </w:r>
      <w:r w:rsidR="00F77E81">
        <w:rPr>
          <w:rFonts w:ascii="Times New Roman" w:hAnsi="Times New Roman" w:cs="Times New Roman"/>
          <w:sz w:val="24"/>
          <w:szCs w:val="24"/>
          <w:lang w:val="en-US"/>
        </w:rPr>
        <w:t xml:space="preserve">Convergence of </w:t>
      </w:r>
      <w:proofErr w:type="spellStart"/>
      <w:r w:rsidR="00F77E81">
        <w:rPr>
          <w:rFonts w:ascii="Times New Roman" w:hAnsi="Times New Roman" w:cs="Times New Roman"/>
          <w:sz w:val="24"/>
          <w:szCs w:val="24"/>
          <w:lang w:val="en-US"/>
        </w:rPr>
        <w:t>Navarrese</w:t>
      </w:r>
      <w:proofErr w:type="spellEnd"/>
      <w:r w:rsidR="00F77E81">
        <w:rPr>
          <w:rFonts w:ascii="Times New Roman" w:hAnsi="Times New Roman" w:cs="Times New Roman"/>
          <w:sz w:val="24"/>
          <w:szCs w:val="24"/>
          <w:lang w:val="en-US"/>
        </w:rPr>
        <w:t xml:space="preserve"> Democrats (</w:t>
      </w:r>
      <w:r w:rsidRPr="00161C1B">
        <w:rPr>
          <w:rFonts w:ascii="Times New Roman" w:hAnsi="Times New Roman" w:cs="Times New Roman"/>
          <w:sz w:val="24"/>
          <w:szCs w:val="24"/>
          <w:lang w:val="en-US"/>
        </w:rPr>
        <w:t>CDN) into a limited pluralist one (ENPP≥4). Indeed, if</w:t>
      </w:r>
      <w:r w:rsidR="00F77E81">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as </w:t>
      </w:r>
      <w:proofErr w:type="spellStart"/>
      <w:r w:rsidRPr="00161C1B">
        <w:rPr>
          <w:rFonts w:ascii="Times New Roman" w:hAnsi="Times New Roman" w:cs="Times New Roman"/>
          <w:sz w:val="24"/>
          <w:szCs w:val="24"/>
          <w:lang w:val="en-US"/>
        </w:rPr>
        <w:t>Mair</w:t>
      </w:r>
      <w:proofErr w:type="spellEnd"/>
      <w:r w:rsidRPr="00161C1B">
        <w:rPr>
          <w:rFonts w:ascii="Times New Roman" w:hAnsi="Times New Roman" w:cs="Times New Roman"/>
          <w:sz w:val="24"/>
          <w:szCs w:val="24"/>
          <w:lang w:val="en-US"/>
        </w:rPr>
        <w:t xml:space="preserve"> (1997) has maintained</w:t>
      </w:r>
      <w:r w:rsidR="00F77E81">
        <w:rPr>
          <w:rFonts w:ascii="Times New Roman" w:hAnsi="Times New Roman" w:cs="Times New Roman"/>
          <w:sz w:val="24"/>
          <w:szCs w:val="24"/>
          <w:lang w:val="en-US"/>
        </w:rPr>
        <w:t>,</w:t>
      </w:r>
      <w:r w:rsidRPr="00161C1B">
        <w:rPr>
          <w:rFonts w:ascii="Times New Roman" w:hAnsi="Times New Roman" w:cs="Times New Roman"/>
          <w:sz w:val="24"/>
          <w:szCs w:val="24"/>
          <w:lang w:val="en-US"/>
        </w:rPr>
        <w:t xml:space="preserve"> change takes place not when the number of parties changes, but when the latter means a modification of category, then we are </w:t>
      </w:r>
      <w:r w:rsidR="00F77E81">
        <w:rPr>
          <w:rFonts w:ascii="Times New Roman" w:hAnsi="Times New Roman" w:cs="Times New Roman"/>
          <w:sz w:val="24"/>
          <w:szCs w:val="24"/>
          <w:lang w:val="en-US"/>
        </w:rPr>
        <w:t>o</w:t>
      </w:r>
      <w:r w:rsidRPr="00161C1B">
        <w:rPr>
          <w:rFonts w:ascii="Times New Roman" w:hAnsi="Times New Roman" w:cs="Times New Roman"/>
          <w:sz w:val="24"/>
          <w:szCs w:val="24"/>
          <w:lang w:val="en-US"/>
        </w:rPr>
        <w:t xml:space="preserve">n safe ground when stating that in 2011 the </w:t>
      </w:r>
      <w:r w:rsidR="00F77E81">
        <w:rPr>
          <w:rFonts w:ascii="Times New Roman" w:hAnsi="Times New Roman" w:cs="Times New Roman"/>
          <w:sz w:val="24"/>
          <w:szCs w:val="24"/>
          <w:lang w:val="en-US"/>
        </w:rPr>
        <w:t>failure to ban</w:t>
      </w:r>
      <w:r w:rsidRPr="00161C1B">
        <w:rPr>
          <w:rFonts w:ascii="Times New Roman" w:hAnsi="Times New Roman" w:cs="Times New Roman"/>
          <w:sz w:val="24"/>
          <w:szCs w:val="24"/>
          <w:lang w:val="en-US"/>
        </w:rPr>
        <w:t xml:space="preserve"> </w:t>
      </w:r>
      <w:proofErr w:type="spellStart"/>
      <w:r w:rsidRPr="00161C1B">
        <w:rPr>
          <w:rFonts w:ascii="Times New Roman" w:hAnsi="Times New Roman" w:cs="Times New Roman"/>
          <w:sz w:val="24"/>
          <w:szCs w:val="24"/>
          <w:lang w:val="en-US"/>
        </w:rPr>
        <w:t>Bildu</w:t>
      </w:r>
      <w:proofErr w:type="spellEnd"/>
      <w:r w:rsidRPr="00161C1B">
        <w:rPr>
          <w:rFonts w:ascii="Times New Roman" w:hAnsi="Times New Roman" w:cs="Times New Roman"/>
          <w:sz w:val="24"/>
          <w:szCs w:val="24"/>
          <w:lang w:val="en-US"/>
        </w:rPr>
        <w:t xml:space="preserve"> sparked a change in the </w:t>
      </w:r>
      <w:proofErr w:type="spellStart"/>
      <w:r w:rsidRPr="00161C1B">
        <w:rPr>
          <w:rFonts w:ascii="Times New Roman" w:hAnsi="Times New Roman" w:cs="Times New Roman"/>
          <w:sz w:val="24"/>
          <w:szCs w:val="24"/>
          <w:lang w:val="en-US"/>
        </w:rPr>
        <w:t>Navarrese</w:t>
      </w:r>
      <w:proofErr w:type="spellEnd"/>
      <w:r w:rsidRPr="00161C1B">
        <w:rPr>
          <w:rFonts w:ascii="Times New Roman" w:hAnsi="Times New Roman" w:cs="Times New Roman"/>
          <w:sz w:val="24"/>
          <w:szCs w:val="24"/>
          <w:lang w:val="en-US"/>
        </w:rPr>
        <w:t xml:space="preserve"> party system. Something that had not had happened since 1999.</w:t>
      </w:r>
    </w:p>
    <w:p w:rsidR="00EA2DE1" w:rsidRDefault="00EA2DE1" w:rsidP="00161C1B">
      <w:pPr>
        <w:spacing w:after="0" w:line="360" w:lineRule="auto"/>
        <w:jc w:val="both"/>
        <w:rPr>
          <w:rFonts w:ascii="Times New Roman" w:hAnsi="Times New Roman" w:cs="Times New Roman"/>
          <w:sz w:val="24"/>
          <w:szCs w:val="24"/>
          <w:lang w:val="en-US"/>
        </w:rPr>
      </w:pPr>
    </w:p>
    <w:p w:rsidR="00161C1B" w:rsidRPr="00161C1B" w:rsidRDefault="00F77E81" w:rsidP="00161C1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61C1B" w:rsidRPr="00161C1B">
        <w:rPr>
          <w:rFonts w:ascii="Times New Roman" w:hAnsi="Times New Roman" w:cs="Times New Roman"/>
          <w:sz w:val="24"/>
          <w:szCs w:val="24"/>
          <w:lang w:val="en-US"/>
        </w:rPr>
        <w:t xml:space="preserve">able </w:t>
      </w:r>
      <w:r>
        <w:rPr>
          <w:rFonts w:ascii="Times New Roman" w:hAnsi="Times New Roman" w:cs="Times New Roman"/>
          <w:sz w:val="24"/>
          <w:szCs w:val="24"/>
          <w:lang w:val="en-US"/>
        </w:rPr>
        <w:t>7</w:t>
      </w:r>
      <w:r w:rsidR="00161C1B" w:rsidRPr="00161C1B">
        <w:rPr>
          <w:rFonts w:ascii="Times New Roman" w:hAnsi="Times New Roman" w:cs="Times New Roman"/>
          <w:sz w:val="24"/>
          <w:szCs w:val="24"/>
          <w:lang w:val="en-US"/>
        </w:rPr>
        <w:t xml:space="preserve"> also points to a change in the structure of competition both in 2003 and in 2011. Thus, while the presence of the </w:t>
      </w:r>
      <w:proofErr w:type="spellStart"/>
      <w:r w:rsidR="00161C1B" w:rsidRPr="00161C1B">
        <w:rPr>
          <w:rFonts w:ascii="Times New Roman" w:hAnsi="Times New Roman" w:cs="Times New Roman"/>
          <w:sz w:val="24"/>
          <w:szCs w:val="24"/>
          <w:lang w:val="en-US"/>
        </w:rPr>
        <w:t>Batasuna</w:t>
      </w:r>
      <w:proofErr w:type="spellEnd"/>
      <w:r w:rsidR="00161C1B" w:rsidRPr="00161C1B">
        <w:rPr>
          <w:rFonts w:ascii="Times New Roman" w:hAnsi="Times New Roman" w:cs="Times New Roman"/>
          <w:sz w:val="24"/>
          <w:szCs w:val="24"/>
          <w:lang w:val="en-US"/>
        </w:rPr>
        <w:t xml:space="preserve">-led coalition, treated as a total pariah by </w:t>
      </w:r>
      <w:r w:rsidR="00847FB9">
        <w:rPr>
          <w:rFonts w:ascii="Times New Roman" w:hAnsi="Times New Roman" w:cs="Times New Roman"/>
          <w:sz w:val="24"/>
          <w:szCs w:val="24"/>
          <w:lang w:val="en-US"/>
        </w:rPr>
        <w:t xml:space="preserve">the rest of the </w:t>
      </w:r>
      <w:proofErr w:type="gramStart"/>
      <w:r w:rsidR="00847FB9">
        <w:rPr>
          <w:rFonts w:ascii="Times New Roman" w:hAnsi="Times New Roman" w:cs="Times New Roman"/>
          <w:sz w:val="24"/>
          <w:szCs w:val="24"/>
          <w:lang w:val="en-US"/>
        </w:rPr>
        <w:t>political  forces</w:t>
      </w:r>
      <w:proofErr w:type="gramEnd"/>
      <w:r w:rsidR="00161C1B" w:rsidRPr="00161C1B">
        <w:rPr>
          <w:rFonts w:ascii="Times New Roman" w:hAnsi="Times New Roman" w:cs="Times New Roman"/>
          <w:sz w:val="24"/>
          <w:szCs w:val="24"/>
          <w:lang w:val="en-US"/>
        </w:rPr>
        <w:t xml:space="preserve">, especially since the assassination of PP member Miguel </w:t>
      </w:r>
      <w:proofErr w:type="spellStart"/>
      <w:r w:rsidR="00161C1B" w:rsidRPr="00161C1B">
        <w:rPr>
          <w:rFonts w:ascii="Times New Roman" w:hAnsi="Times New Roman" w:cs="Times New Roman"/>
          <w:sz w:val="24"/>
          <w:szCs w:val="24"/>
          <w:lang w:val="en-US"/>
        </w:rPr>
        <w:t>Ángel</w:t>
      </w:r>
      <w:proofErr w:type="spellEnd"/>
      <w:r w:rsidR="00161C1B" w:rsidRPr="00161C1B">
        <w:rPr>
          <w:rFonts w:ascii="Times New Roman" w:hAnsi="Times New Roman" w:cs="Times New Roman"/>
          <w:sz w:val="24"/>
          <w:szCs w:val="24"/>
          <w:lang w:val="en-US"/>
        </w:rPr>
        <w:t xml:space="preserve"> Blanco in 1997, allowed UPN to form a minority government in 1999; the proscription of </w:t>
      </w:r>
      <w:r>
        <w:rPr>
          <w:rFonts w:ascii="Times New Roman" w:hAnsi="Times New Roman" w:cs="Times New Roman"/>
          <w:sz w:val="24"/>
          <w:szCs w:val="24"/>
          <w:lang w:val="en-US"/>
        </w:rPr>
        <w:t xml:space="preserve">HB successor, </w:t>
      </w:r>
      <w:proofErr w:type="spellStart"/>
      <w:r w:rsidR="00161C1B" w:rsidRPr="00161C1B">
        <w:rPr>
          <w:rFonts w:ascii="Times New Roman" w:hAnsi="Times New Roman" w:cs="Times New Roman"/>
          <w:sz w:val="24"/>
          <w:szCs w:val="24"/>
          <w:lang w:val="en-US"/>
        </w:rPr>
        <w:t>Euskal</w:t>
      </w:r>
      <w:proofErr w:type="spellEnd"/>
      <w:r w:rsidR="00161C1B" w:rsidRPr="00161C1B">
        <w:rPr>
          <w:rFonts w:ascii="Times New Roman" w:hAnsi="Times New Roman" w:cs="Times New Roman"/>
          <w:sz w:val="24"/>
          <w:szCs w:val="24"/>
          <w:lang w:val="en-US"/>
        </w:rPr>
        <w:t xml:space="preserve"> </w:t>
      </w:r>
      <w:proofErr w:type="spellStart"/>
      <w:r w:rsidR="00161C1B" w:rsidRPr="00161C1B">
        <w:rPr>
          <w:rFonts w:ascii="Times New Roman" w:hAnsi="Times New Roman" w:cs="Times New Roman"/>
          <w:sz w:val="24"/>
          <w:szCs w:val="24"/>
          <w:lang w:val="en-US"/>
        </w:rPr>
        <w:t>Herritarrok</w:t>
      </w:r>
      <w:proofErr w:type="spellEnd"/>
      <w:r>
        <w:rPr>
          <w:rFonts w:ascii="Times New Roman" w:hAnsi="Times New Roman" w:cs="Times New Roman"/>
          <w:sz w:val="24"/>
          <w:szCs w:val="24"/>
          <w:lang w:val="en-US"/>
        </w:rPr>
        <w:t>,</w:t>
      </w:r>
      <w:r w:rsidR="00161C1B" w:rsidRPr="00161C1B">
        <w:rPr>
          <w:rFonts w:ascii="Times New Roman" w:hAnsi="Times New Roman" w:cs="Times New Roman"/>
          <w:sz w:val="24"/>
          <w:szCs w:val="24"/>
          <w:lang w:val="en-US"/>
        </w:rPr>
        <w:t xml:space="preserve"> before the next elections obliged Miguel </w:t>
      </w:r>
      <w:proofErr w:type="spellStart"/>
      <w:r w:rsidR="00161C1B" w:rsidRPr="00161C1B">
        <w:rPr>
          <w:rFonts w:ascii="Times New Roman" w:hAnsi="Times New Roman" w:cs="Times New Roman"/>
          <w:sz w:val="24"/>
          <w:szCs w:val="24"/>
          <w:lang w:val="en-US"/>
        </w:rPr>
        <w:t>Ángel</w:t>
      </w:r>
      <w:proofErr w:type="spellEnd"/>
      <w:r w:rsidR="00161C1B" w:rsidRPr="00161C1B">
        <w:rPr>
          <w:rFonts w:ascii="Times New Roman" w:hAnsi="Times New Roman" w:cs="Times New Roman"/>
          <w:sz w:val="24"/>
          <w:szCs w:val="24"/>
          <w:lang w:val="en-US"/>
        </w:rPr>
        <w:t xml:space="preserve"> </w:t>
      </w:r>
      <w:proofErr w:type="spellStart"/>
      <w:r w:rsidR="00161C1B" w:rsidRPr="00161C1B">
        <w:rPr>
          <w:rFonts w:ascii="Times New Roman" w:hAnsi="Times New Roman" w:cs="Times New Roman"/>
          <w:sz w:val="24"/>
          <w:szCs w:val="24"/>
          <w:lang w:val="en-US"/>
        </w:rPr>
        <w:t>Sainz</w:t>
      </w:r>
      <w:proofErr w:type="spellEnd"/>
      <w:r w:rsidR="00161C1B" w:rsidRPr="00161C1B">
        <w:rPr>
          <w:rFonts w:ascii="Times New Roman" w:hAnsi="Times New Roman" w:cs="Times New Roman"/>
          <w:sz w:val="24"/>
          <w:szCs w:val="24"/>
          <w:lang w:val="en-US"/>
        </w:rPr>
        <w:t xml:space="preserve"> (UPN´s leader) to form a coalition government with the CDN both in 2003 and 2007. Interestingly, the return of the radical nationalist left to the </w:t>
      </w:r>
      <w:proofErr w:type="spellStart"/>
      <w:r w:rsidR="00161C1B" w:rsidRPr="00161C1B">
        <w:rPr>
          <w:rFonts w:ascii="Times New Roman" w:hAnsi="Times New Roman" w:cs="Times New Roman"/>
          <w:sz w:val="24"/>
          <w:szCs w:val="24"/>
          <w:lang w:val="en-US"/>
        </w:rPr>
        <w:t>Navarrese</w:t>
      </w:r>
      <w:proofErr w:type="spellEnd"/>
      <w:r w:rsidR="00161C1B" w:rsidRPr="00161C1B">
        <w:rPr>
          <w:rFonts w:ascii="Times New Roman" w:hAnsi="Times New Roman" w:cs="Times New Roman"/>
          <w:sz w:val="24"/>
          <w:szCs w:val="24"/>
          <w:lang w:val="en-US"/>
        </w:rPr>
        <w:t xml:space="preserve"> </w:t>
      </w:r>
      <w:r w:rsidR="00161C1B" w:rsidRPr="00161C1B">
        <w:rPr>
          <w:rFonts w:ascii="Times New Roman" w:hAnsi="Times New Roman" w:cs="Times New Roman"/>
          <w:i/>
          <w:sz w:val="24"/>
          <w:szCs w:val="24"/>
          <w:lang w:val="en-US"/>
        </w:rPr>
        <w:t>Cortes</w:t>
      </w:r>
      <w:r w:rsidR="00161C1B" w:rsidRPr="00161C1B">
        <w:rPr>
          <w:rFonts w:ascii="Times New Roman" w:hAnsi="Times New Roman" w:cs="Times New Roman"/>
          <w:sz w:val="24"/>
          <w:szCs w:val="24"/>
          <w:lang w:val="en-US"/>
        </w:rPr>
        <w:t xml:space="preserve"> in 2011 would open the way to - some would say “forced” - the first “gr</w:t>
      </w:r>
      <w:r>
        <w:rPr>
          <w:rFonts w:ascii="Times New Roman" w:hAnsi="Times New Roman" w:cs="Times New Roman"/>
          <w:sz w:val="24"/>
          <w:szCs w:val="24"/>
          <w:lang w:val="en-US"/>
        </w:rPr>
        <w:t>and</w:t>
      </w:r>
      <w:r w:rsidR="00161C1B" w:rsidRPr="00161C1B">
        <w:rPr>
          <w:rFonts w:ascii="Times New Roman" w:hAnsi="Times New Roman" w:cs="Times New Roman"/>
          <w:sz w:val="24"/>
          <w:szCs w:val="24"/>
          <w:lang w:val="en-US"/>
        </w:rPr>
        <w:t xml:space="preserve"> coalition” between the conservative UPN and the socialist PSN.</w:t>
      </w:r>
      <w:r w:rsidR="00161C1B" w:rsidRPr="00161C1B">
        <w:rPr>
          <w:rStyle w:val="FootnoteReference"/>
          <w:rFonts w:ascii="Times New Roman" w:hAnsi="Times New Roman" w:cs="Times New Roman"/>
          <w:sz w:val="24"/>
          <w:szCs w:val="24"/>
          <w:lang w:val="en-US"/>
        </w:rPr>
        <w:footnoteReference w:id="24"/>
      </w:r>
      <w:r w:rsidR="00161C1B" w:rsidRPr="00161C1B">
        <w:rPr>
          <w:rFonts w:ascii="Times New Roman" w:hAnsi="Times New Roman" w:cs="Times New Roman"/>
          <w:sz w:val="24"/>
          <w:szCs w:val="24"/>
          <w:lang w:val="en-US"/>
        </w:rPr>
        <w:t xml:space="preserve"> As a result, the </w:t>
      </w:r>
      <w:proofErr w:type="spellStart"/>
      <w:r w:rsidR="00161C1B" w:rsidRPr="00161C1B">
        <w:rPr>
          <w:rFonts w:ascii="Times New Roman" w:hAnsi="Times New Roman" w:cs="Times New Roman"/>
          <w:sz w:val="24"/>
          <w:szCs w:val="24"/>
          <w:lang w:val="en-US"/>
        </w:rPr>
        <w:t>Navarrese</w:t>
      </w:r>
      <w:proofErr w:type="spellEnd"/>
      <w:r w:rsidR="00161C1B" w:rsidRPr="00161C1B">
        <w:rPr>
          <w:rFonts w:ascii="Times New Roman" w:hAnsi="Times New Roman" w:cs="Times New Roman"/>
          <w:sz w:val="24"/>
          <w:szCs w:val="24"/>
          <w:lang w:val="en-US"/>
        </w:rPr>
        <w:t xml:space="preserve"> structure of inter-party competition for government left its wholesale, open access and rather familiar (except between June 1995 and September 1996) character for a pattern where partial alternation, innovative formulae and closed access are the norm.</w:t>
      </w:r>
    </w:p>
    <w:p w:rsidR="00EA2DE1" w:rsidRDefault="00EA2DE1" w:rsidP="00883DB3">
      <w:pPr>
        <w:spacing w:after="0" w:line="360" w:lineRule="auto"/>
        <w:jc w:val="both"/>
        <w:rPr>
          <w:rFonts w:ascii="Times New Roman" w:hAnsi="Times New Roman" w:cs="Times New Roman"/>
          <w:sz w:val="24"/>
          <w:szCs w:val="24"/>
          <w:lang w:val="en-US"/>
        </w:rPr>
      </w:pPr>
    </w:p>
    <w:p w:rsidR="00161C1B" w:rsidRPr="00161C1B" w:rsidRDefault="00161C1B" w:rsidP="00883DB3">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Moreover, it is important to note here also that, more recently, and after the collapse of the “gr</w:t>
      </w:r>
      <w:r w:rsidR="00F77E81">
        <w:rPr>
          <w:rFonts w:ascii="Times New Roman" w:hAnsi="Times New Roman" w:cs="Times New Roman"/>
          <w:sz w:val="24"/>
          <w:szCs w:val="24"/>
          <w:lang w:val="en-US"/>
        </w:rPr>
        <w:t xml:space="preserve">and </w:t>
      </w:r>
      <w:r w:rsidRPr="00161C1B">
        <w:rPr>
          <w:rFonts w:ascii="Times New Roman" w:hAnsi="Times New Roman" w:cs="Times New Roman"/>
          <w:sz w:val="24"/>
          <w:szCs w:val="24"/>
          <w:lang w:val="en-US"/>
        </w:rPr>
        <w:t xml:space="preserve">coalition” in June 2012 due to a corruption scandal within UPN, the PSN </w:t>
      </w:r>
      <w:r w:rsidR="00F77E81">
        <w:rPr>
          <w:rFonts w:ascii="Times New Roman" w:hAnsi="Times New Roman" w:cs="Times New Roman"/>
          <w:sz w:val="24"/>
          <w:szCs w:val="24"/>
          <w:lang w:val="en-US"/>
        </w:rPr>
        <w:t>was</w:t>
      </w:r>
      <w:r w:rsidRPr="00161C1B">
        <w:rPr>
          <w:rFonts w:ascii="Times New Roman" w:hAnsi="Times New Roman" w:cs="Times New Roman"/>
          <w:sz w:val="24"/>
          <w:szCs w:val="24"/>
          <w:lang w:val="en-US"/>
        </w:rPr>
        <w:t xml:space="preserve"> tempted to use </w:t>
      </w:r>
      <w:proofErr w:type="spellStart"/>
      <w:r w:rsidRPr="00161C1B">
        <w:rPr>
          <w:rFonts w:ascii="Times New Roman" w:hAnsi="Times New Roman" w:cs="Times New Roman"/>
          <w:sz w:val="24"/>
          <w:szCs w:val="24"/>
          <w:lang w:val="en-US"/>
        </w:rPr>
        <w:t>Bildu´s</w:t>
      </w:r>
      <w:proofErr w:type="spellEnd"/>
      <w:r w:rsidRPr="00161C1B">
        <w:rPr>
          <w:rFonts w:ascii="Times New Roman" w:hAnsi="Times New Roman" w:cs="Times New Roman"/>
          <w:sz w:val="24"/>
          <w:szCs w:val="24"/>
          <w:lang w:val="en-US"/>
        </w:rPr>
        <w:t xml:space="preserve"> parliamentary support to oust President </w:t>
      </w:r>
      <w:proofErr w:type="spellStart"/>
      <w:r w:rsidRPr="00161C1B">
        <w:rPr>
          <w:rFonts w:ascii="Times New Roman" w:hAnsi="Times New Roman" w:cs="Times New Roman"/>
          <w:sz w:val="24"/>
          <w:szCs w:val="24"/>
          <w:lang w:val="en-US"/>
        </w:rPr>
        <w:t>Barcina</w:t>
      </w:r>
      <w:proofErr w:type="spellEnd"/>
      <w:r w:rsidRPr="00161C1B">
        <w:rPr>
          <w:rFonts w:ascii="Times New Roman" w:hAnsi="Times New Roman" w:cs="Times New Roman"/>
          <w:sz w:val="24"/>
          <w:szCs w:val="24"/>
          <w:lang w:val="en-US"/>
        </w:rPr>
        <w:t xml:space="preserve"> (UPN) and, perhaps, form a minority cabinet. This would definitively have not had taken place in the period between 2003 and 2010. In other words, the banning/</w:t>
      </w:r>
      <w:r w:rsidR="0053576E">
        <w:rPr>
          <w:rFonts w:ascii="Times New Roman" w:hAnsi="Times New Roman" w:cs="Times New Roman"/>
          <w:sz w:val="24"/>
          <w:szCs w:val="24"/>
          <w:lang w:val="en-US"/>
        </w:rPr>
        <w:t xml:space="preserve">failure to ban </w:t>
      </w:r>
      <w:r w:rsidRPr="00161C1B">
        <w:rPr>
          <w:rFonts w:ascii="Times New Roman" w:hAnsi="Times New Roman" w:cs="Times New Roman"/>
          <w:sz w:val="24"/>
          <w:szCs w:val="24"/>
          <w:lang w:val="en-US"/>
        </w:rPr>
        <w:t>political parties creates the opportunity to alter pre-existing patterns of competition, making the structure of competition less predictable and, therefore, more prone to change.</w:t>
      </w:r>
    </w:p>
    <w:p w:rsidR="00EA2DE1" w:rsidRDefault="00EA2DE1" w:rsidP="00161C1B">
      <w:pPr>
        <w:spacing w:after="0" w:line="360" w:lineRule="auto"/>
        <w:jc w:val="both"/>
        <w:rPr>
          <w:rFonts w:ascii="Times New Roman" w:hAnsi="Times New Roman" w:cs="Times New Roman"/>
          <w:sz w:val="24"/>
          <w:szCs w:val="24"/>
          <w:lang w:val="en-US"/>
        </w:rPr>
      </w:pPr>
    </w:p>
    <w:p w:rsidR="00EA2DE1" w:rsidRPr="00883DB3" w:rsidRDefault="0053576E" w:rsidP="0053576E">
      <w:pPr>
        <w:spacing w:after="0" w:line="360" w:lineRule="auto"/>
        <w:jc w:val="both"/>
        <w:rPr>
          <w:rFonts w:ascii="Times New Roman" w:hAnsi="Times New Roman" w:cs="Times New Roman"/>
          <w:i/>
          <w:sz w:val="24"/>
          <w:szCs w:val="24"/>
          <w:u w:val="single"/>
          <w:lang w:val="en-US"/>
        </w:rPr>
      </w:pPr>
      <w:r w:rsidRPr="00883DB3">
        <w:rPr>
          <w:rFonts w:ascii="Times New Roman" w:hAnsi="Times New Roman" w:cs="Times New Roman"/>
          <w:i/>
          <w:sz w:val="24"/>
          <w:szCs w:val="24"/>
          <w:u w:val="single"/>
          <w:lang w:val="en-US"/>
        </w:rPr>
        <w:t xml:space="preserve">Turkey </w:t>
      </w:r>
    </w:p>
    <w:p w:rsidR="00EA2DE1" w:rsidRPr="00EA2DE1" w:rsidRDefault="0053576E" w:rsidP="00EA2DE1">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a large number of parties have been banned in Turkey (see Table 1), party bans have had a significant party system impact in only a very few cases. </w:t>
      </w:r>
      <w:r w:rsidR="00EA2DE1" w:rsidRPr="00EA2DE1">
        <w:rPr>
          <w:rFonts w:ascii="Times New Roman" w:hAnsi="Times New Roman" w:cs="Times New Roman"/>
          <w:sz w:val="24"/>
          <w:szCs w:val="24"/>
          <w:lang w:val="en-US"/>
        </w:rPr>
        <w:t xml:space="preserve">Indeed, the majority of Turkish parties </w:t>
      </w:r>
      <w:r>
        <w:rPr>
          <w:rFonts w:ascii="Times New Roman" w:hAnsi="Times New Roman" w:cs="Times New Roman"/>
          <w:sz w:val="24"/>
          <w:szCs w:val="24"/>
          <w:lang w:val="en-US"/>
        </w:rPr>
        <w:t xml:space="preserve">banned by the </w:t>
      </w:r>
      <w:r w:rsidR="00EA2DE1" w:rsidRPr="00EA2DE1">
        <w:rPr>
          <w:rFonts w:ascii="Times New Roman" w:hAnsi="Times New Roman" w:cs="Times New Roman"/>
          <w:sz w:val="24"/>
          <w:szCs w:val="24"/>
          <w:lang w:val="en-US"/>
        </w:rPr>
        <w:t xml:space="preserve">Constitutional Court were either </w:t>
      </w:r>
      <w:r>
        <w:rPr>
          <w:rFonts w:ascii="Times New Roman" w:hAnsi="Times New Roman" w:cs="Times New Roman"/>
          <w:sz w:val="24"/>
          <w:szCs w:val="24"/>
          <w:lang w:val="en-US"/>
        </w:rPr>
        <w:t xml:space="preserve">never </w:t>
      </w:r>
      <w:r w:rsidR="00EA2DE1" w:rsidRPr="00EA2DE1">
        <w:rPr>
          <w:rFonts w:ascii="Times New Roman" w:hAnsi="Times New Roman" w:cs="Times New Roman"/>
          <w:sz w:val="24"/>
          <w:szCs w:val="24"/>
          <w:lang w:val="en-US"/>
        </w:rPr>
        <w:t>electorally active, suffer</w:t>
      </w:r>
      <w:r>
        <w:rPr>
          <w:rFonts w:ascii="Times New Roman" w:hAnsi="Times New Roman" w:cs="Times New Roman"/>
          <w:sz w:val="24"/>
          <w:szCs w:val="24"/>
          <w:lang w:val="en-US"/>
        </w:rPr>
        <w:t>ed</w:t>
      </w:r>
      <w:r w:rsidR="00EA2DE1" w:rsidRPr="00EA2DE1">
        <w:rPr>
          <w:rFonts w:ascii="Times New Roman" w:hAnsi="Times New Roman" w:cs="Times New Roman"/>
          <w:sz w:val="24"/>
          <w:szCs w:val="24"/>
          <w:lang w:val="en-US"/>
        </w:rPr>
        <w:t xml:space="preserve"> from a “clandestine syndrome” (e.g. Turkey Comfort Party, United Communist Party of Turkey, People Party, Revival Party, etc.), or </w:t>
      </w:r>
      <w:r>
        <w:rPr>
          <w:rFonts w:ascii="Times New Roman" w:hAnsi="Times New Roman" w:cs="Times New Roman"/>
          <w:sz w:val="24"/>
          <w:szCs w:val="24"/>
          <w:lang w:val="en-US"/>
        </w:rPr>
        <w:t xml:space="preserve">weren’t </w:t>
      </w:r>
      <w:r w:rsidR="00EA2DE1" w:rsidRPr="00EA2DE1">
        <w:rPr>
          <w:rFonts w:ascii="Times New Roman" w:hAnsi="Times New Roman" w:cs="Times New Roman"/>
          <w:sz w:val="24"/>
          <w:szCs w:val="24"/>
          <w:lang w:val="en-US"/>
        </w:rPr>
        <w:t xml:space="preserve">popular </w:t>
      </w:r>
      <w:r>
        <w:rPr>
          <w:rFonts w:ascii="Times New Roman" w:hAnsi="Times New Roman" w:cs="Times New Roman"/>
          <w:sz w:val="24"/>
          <w:szCs w:val="24"/>
          <w:lang w:val="en-US"/>
        </w:rPr>
        <w:t xml:space="preserve">with voters </w:t>
      </w:r>
      <w:r w:rsidR="00EA2DE1" w:rsidRPr="00EA2DE1">
        <w:rPr>
          <w:rFonts w:ascii="Times New Roman" w:hAnsi="Times New Roman" w:cs="Times New Roman"/>
          <w:sz w:val="24"/>
          <w:szCs w:val="24"/>
          <w:lang w:val="en-US"/>
        </w:rPr>
        <w:t xml:space="preserve">(e.g. Socialist Party, Socialist Union Party, </w:t>
      </w:r>
      <w:proofErr w:type="spellStart"/>
      <w:r w:rsidR="00EA2DE1" w:rsidRPr="00EA2DE1">
        <w:rPr>
          <w:rFonts w:ascii="Times New Roman" w:hAnsi="Times New Roman" w:cs="Times New Roman"/>
          <w:sz w:val="24"/>
          <w:szCs w:val="24"/>
          <w:lang w:val="en-US"/>
        </w:rPr>
        <w:t>etc</w:t>
      </w:r>
      <w:proofErr w:type="spellEnd"/>
      <w:r w:rsidR="00EA2DE1" w:rsidRPr="00EA2DE1">
        <w:rPr>
          <w:rFonts w:ascii="Times New Roman" w:hAnsi="Times New Roman" w:cs="Times New Roman"/>
          <w:sz w:val="24"/>
          <w:szCs w:val="24"/>
          <w:lang w:val="en-US"/>
        </w:rPr>
        <w:t>).  Some, like the Turkey Comfort Party (THP), the Freedom and Democracy Party (ÖZDEP) or the Democracy and Change Party (DDP) were banned before they could even try to fulfill their electoral vocation.</w:t>
      </w:r>
      <w:r w:rsidR="006A7B9F">
        <w:rPr>
          <w:rFonts w:ascii="Times New Roman" w:hAnsi="Times New Roman" w:cs="Times New Roman"/>
          <w:sz w:val="24"/>
          <w:szCs w:val="24"/>
          <w:lang w:val="en-US"/>
        </w:rPr>
        <w:t xml:space="preserve"> Parties </w:t>
      </w:r>
      <w:r w:rsidR="00EA2DE1" w:rsidRPr="00EA2DE1">
        <w:rPr>
          <w:rFonts w:ascii="Times New Roman" w:hAnsi="Times New Roman" w:cs="Times New Roman"/>
          <w:sz w:val="24"/>
          <w:szCs w:val="24"/>
          <w:lang w:val="en-US"/>
        </w:rPr>
        <w:t xml:space="preserve">like the Democratic Society Party (DTP), were </w:t>
      </w:r>
      <w:r>
        <w:rPr>
          <w:rFonts w:ascii="Times New Roman" w:hAnsi="Times New Roman" w:cs="Times New Roman"/>
          <w:sz w:val="24"/>
          <w:szCs w:val="24"/>
          <w:lang w:val="en-US"/>
        </w:rPr>
        <w:t xml:space="preserve">legal </w:t>
      </w:r>
      <w:r w:rsidR="00EA2DE1" w:rsidRPr="00EA2DE1">
        <w:rPr>
          <w:rFonts w:ascii="Times New Roman" w:hAnsi="Times New Roman" w:cs="Times New Roman"/>
          <w:sz w:val="24"/>
          <w:szCs w:val="24"/>
          <w:lang w:val="en-US"/>
        </w:rPr>
        <w:t xml:space="preserve">long enough to make </w:t>
      </w:r>
      <w:r>
        <w:rPr>
          <w:rFonts w:ascii="Times New Roman" w:hAnsi="Times New Roman" w:cs="Times New Roman"/>
          <w:sz w:val="24"/>
          <w:szCs w:val="24"/>
          <w:lang w:val="en-US"/>
        </w:rPr>
        <w:t>only a</w:t>
      </w:r>
      <w:r w:rsidR="00EA2DE1" w:rsidRPr="00EA2DE1">
        <w:rPr>
          <w:rFonts w:ascii="Times New Roman" w:hAnsi="Times New Roman" w:cs="Times New Roman"/>
          <w:sz w:val="24"/>
          <w:szCs w:val="24"/>
          <w:lang w:val="en-US"/>
        </w:rPr>
        <w:t xml:space="preserve"> small impact at the local level (5.4 percent of the vote in 2009). It is for these reasons that we will limit analys</w:t>
      </w:r>
      <w:r>
        <w:rPr>
          <w:rFonts w:ascii="Times New Roman" w:hAnsi="Times New Roman" w:cs="Times New Roman"/>
          <w:sz w:val="24"/>
          <w:szCs w:val="24"/>
          <w:lang w:val="en-US"/>
        </w:rPr>
        <w:t>is</w:t>
      </w:r>
      <w:r w:rsidR="00EA2DE1" w:rsidRPr="00EA2D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here to </w:t>
      </w:r>
      <w:r w:rsidR="00EA2DE1" w:rsidRPr="00EA2DE1">
        <w:rPr>
          <w:rFonts w:ascii="Times New Roman" w:hAnsi="Times New Roman" w:cs="Times New Roman"/>
          <w:sz w:val="24"/>
          <w:szCs w:val="24"/>
          <w:lang w:val="en-US"/>
        </w:rPr>
        <w:t xml:space="preserve">the impact of only three banned Turkish parties: namely, the </w:t>
      </w:r>
      <w:proofErr w:type="spellStart"/>
      <w:proofErr w:type="gramStart"/>
      <w:r>
        <w:rPr>
          <w:rFonts w:ascii="Times New Roman" w:hAnsi="Times New Roman" w:cs="Times New Roman"/>
          <w:sz w:val="24"/>
          <w:szCs w:val="24"/>
          <w:lang w:val="en-US"/>
        </w:rPr>
        <w:t>islamist</w:t>
      </w:r>
      <w:proofErr w:type="spellEnd"/>
      <w:proofErr w:type="gramEnd"/>
      <w:r>
        <w:rPr>
          <w:rFonts w:ascii="Times New Roman" w:hAnsi="Times New Roman" w:cs="Times New Roman"/>
          <w:sz w:val="24"/>
          <w:szCs w:val="24"/>
          <w:lang w:val="en-US"/>
        </w:rPr>
        <w:t xml:space="preserve"> </w:t>
      </w:r>
      <w:r w:rsidR="00EA2DE1" w:rsidRPr="00EA2DE1">
        <w:rPr>
          <w:rFonts w:ascii="Times New Roman" w:hAnsi="Times New Roman" w:cs="Times New Roman"/>
          <w:sz w:val="24"/>
          <w:szCs w:val="24"/>
          <w:lang w:val="en-US"/>
        </w:rPr>
        <w:t xml:space="preserve">Welfare Party (RP) </w:t>
      </w:r>
      <w:r>
        <w:rPr>
          <w:rFonts w:ascii="Times New Roman" w:hAnsi="Times New Roman" w:cs="Times New Roman"/>
          <w:sz w:val="24"/>
          <w:szCs w:val="24"/>
          <w:lang w:val="en-US"/>
        </w:rPr>
        <w:t xml:space="preserve">and its successor, </w:t>
      </w:r>
      <w:r w:rsidR="00EA2DE1" w:rsidRPr="00EA2DE1">
        <w:rPr>
          <w:rFonts w:ascii="Times New Roman" w:hAnsi="Times New Roman" w:cs="Times New Roman"/>
          <w:sz w:val="24"/>
          <w:szCs w:val="24"/>
          <w:lang w:val="en-US"/>
        </w:rPr>
        <w:t xml:space="preserve">the Virtue Party (FP), and the </w:t>
      </w:r>
      <w:r>
        <w:rPr>
          <w:rFonts w:ascii="Times New Roman" w:hAnsi="Times New Roman" w:cs="Times New Roman"/>
          <w:sz w:val="24"/>
          <w:szCs w:val="24"/>
          <w:lang w:val="en-US"/>
        </w:rPr>
        <w:t xml:space="preserve">Kurdish nationalist </w:t>
      </w:r>
      <w:r w:rsidR="00EA2DE1" w:rsidRPr="00EA2DE1">
        <w:rPr>
          <w:rFonts w:ascii="Times New Roman" w:hAnsi="Times New Roman" w:cs="Times New Roman"/>
          <w:sz w:val="24"/>
          <w:szCs w:val="24"/>
          <w:lang w:val="en-US"/>
        </w:rPr>
        <w:t>People´s Democracy Party (HADEP).</w:t>
      </w:r>
    </w:p>
    <w:p w:rsidR="00EA2DE1" w:rsidRDefault="00EA2DE1" w:rsidP="00EA2DE1">
      <w:pPr>
        <w:pStyle w:val="PlainText"/>
        <w:spacing w:line="360" w:lineRule="auto"/>
        <w:rPr>
          <w:rFonts w:ascii="Times New Roman" w:hAnsi="Times New Roman" w:cs="Times New Roman"/>
          <w:sz w:val="24"/>
          <w:szCs w:val="24"/>
          <w:lang w:val="en-US"/>
        </w:rPr>
      </w:pPr>
    </w:p>
    <w:p w:rsidR="00EA2DE1" w:rsidRPr="00EA2DE1" w:rsidRDefault="00EA2DE1" w:rsidP="00EA2DE1">
      <w:pPr>
        <w:pStyle w:val="PlainText"/>
        <w:spacing w:line="360" w:lineRule="auto"/>
        <w:rPr>
          <w:rFonts w:ascii="Times New Roman" w:hAnsi="Times New Roman" w:cs="Times New Roman"/>
          <w:sz w:val="24"/>
          <w:szCs w:val="24"/>
          <w:lang w:val="en-US"/>
        </w:rPr>
      </w:pPr>
      <w:r w:rsidRPr="00EA2DE1">
        <w:rPr>
          <w:rFonts w:ascii="Times New Roman" w:hAnsi="Times New Roman" w:cs="Times New Roman"/>
          <w:sz w:val="24"/>
          <w:szCs w:val="24"/>
          <w:lang w:val="en-US"/>
        </w:rPr>
        <w:t xml:space="preserve">Founded in 1983, the RP was the successor of the pre-democratic MSP, </w:t>
      </w:r>
      <w:r w:rsidR="0053576E">
        <w:rPr>
          <w:rFonts w:ascii="Times New Roman" w:hAnsi="Times New Roman" w:cs="Times New Roman"/>
          <w:sz w:val="24"/>
          <w:szCs w:val="24"/>
          <w:lang w:val="en-US"/>
        </w:rPr>
        <w:t xml:space="preserve">which was </w:t>
      </w:r>
      <w:r w:rsidRPr="00EA2DE1">
        <w:rPr>
          <w:rFonts w:ascii="Times New Roman" w:hAnsi="Times New Roman" w:cs="Times New Roman"/>
          <w:sz w:val="24"/>
          <w:szCs w:val="24"/>
          <w:lang w:val="en-US"/>
        </w:rPr>
        <w:t xml:space="preserve">very popular between 1972 and 1980, when it was banned. It participated for the first time in the 1987 elections obtaining slightly more than 7 percent of the vote. It would double its electoral support just four years later thanks to an electoral alliance with two other parties (MCP and IDP), reaching its peak in 1995 with 21.4 percent of the votes and 158 seats in the Turkish National Assembly, allowing </w:t>
      </w:r>
      <w:r w:rsidR="006A7B9F">
        <w:rPr>
          <w:rFonts w:ascii="Times New Roman" w:hAnsi="Times New Roman" w:cs="Times New Roman"/>
          <w:sz w:val="24"/>
          <w:szCs w:val="24"/>
          <w:lang w:val="en-US"/>
        </w:rPr>
        <w:t xml:space="preserve">it </w:t>
      </w:r>
      <w:r w:rsidRPr="00EA2DE1">
        <w:rPr>
          <w:rFonts w:ascii="Times New Roman" w:hAnsi="Times New Roman" w:cs="Times New Roman"/>
          <w:sz w:val="24"/>
          <w:szCs w:val="24"/>
          <w:lang w:val="en-US"/>
        </w:rPr>
        <w:t>to form a rather short-live</w:t>
      </w:r>
      <w:r w:rsidR="0053576E">
        <w:rPr>
          <w:rFonts w:ascii="Times New Roman" w:hAnsi="Times New Roman" w:cs="Times New Roman"/>
          <w:sz w:val="24"/>
          <w:szCs w:val="24"/>
          <w:lang w:val="en-US"/>
        </w:rPr>
        <w:t>d</w:t>
      </w:r>
      <w:r w:rsidRPr="00EA2DE1">
        <w:rPr>
          <w:rFonts w:ascii="Times New Roman" w:hAnsi="Times New Roman" w:cs="Times New Roman"/>
          <w:sz w:val="24"/>
          <w:szCs w:val="24"/>
          <w:lang w:val="en-US"/>
        </w:rPr>
        <w:t xml:space="preserve"> cabinet (briefly one year) between June 1996 and 1997. After it was banned in 1998, its leaders created a new party (</w:t>
      </w:r>
      <w:r w:rsidR="0053576E">
        <w:rPr>
          <w:rFonts w:ascii="Times New Roman" w:hAnsi="Times New Roman" w:cs="Times New Roman"/>
          <w:sz w:val="24"/>
          <w:szCs w:val="24"/>
          <w:lang w:val="en-US"/>
        </w:rPr>
        <w:t>F</w:t>
      </w:r>
      <w:r w:rsidRPr="00EA2DE1">
        <w:rPr>
          <w:rFonts w:ascii="Times New Roman" w:hAnsi="Times New Roman" w:cs="Times New Roman"/>
          <w:sz w:val="24"/>
          <w:szCs w:val="24"/>
          <w:lang w:val="en-US"/>
        </w:rPr>
        <w:t xml:space="preserve">P) which, however electorally popular (15.4 percent of the votes in 1999), could not repeat RP´s previous success in both the legislative and </w:t>
      </w:r>
      <w:r w:rsidRPr="00EA2DE1">
        <w:rPr>
          <w:rFonts w:ascii="Times New Roman" w:hAnsi="Times New Roman" w:cs="Times New Roman"/>
          <w:sz w:val="24"/>
          <w:szCs w:val="24"/>
          <w:lang w:val="en-US"/>
        </w:rPr>
        <w:lastRenderedPageBreak/>
        <w:t>governmental arenas. Banned in 2003, FP´s leadership would split into two: the majority would create the Justice and Development Party (AKP) and the minority the Felicity Party (</w:t>
      </w:r>
      <w:proofErr w:type="spellStart"/>
      <w:r w:rsidRPr="00EA2DE1">
        <w:rPr>
          <w:rFonts w:ascii="Times New Roman" w:hAnsi="Times New Roman" w:cs="Times New Roman"/>
          <w:sz w:val="24"/>
          <w:szCs w:val="24"/>
          <w:lang w:val="en-US"/>
        </w:rPr>
        <w:t>SaP</w:t>
      </w:r>
      <w:proofErr w:type="spellEnd"/>
      <w:r w:rsidRPr="00EA2DE1">
        <w:rPr>
          <w:rFonts w:ascii="Times New Roman" w:hAnsi="Times New Roman" w:cs="Times New Roman"/>
          <w:sz w:val="24"/>
          <w:szCs w:val="24"/>
          <w:lang w:val="en-US"/>
        </w:rPr>
        <w:t>).</w:t>
      </w:r>
    </w:p>
    <w:p w:rsidR="00EA2DE1" w:rsidRDefault="00EA2DE1" w:rsidP="00EA2DE1">
      <w:pPr>
        <w:pStyle w:val="PlainText"/>
        <w:spacing w:line="360" w:lineRule="auto"/>
        <w:rPr>
          <w:rFonts w:ascii="Times New Roman" w:hAnsi="Times New Roman" w:cs="Times New Roman"/>
          <w:sz w:val="24"/>
          <w:szCs w:val="24"/>
          <w:lang w:val="en-US"/>
        </w:rPr>
      </w:pPr>
    </w:p>
    <w:p w:rsidR="00EA2DE1" w:rsidRDefault="00EA2DE1" w:rsidP="00EA2DE1">
      <w:pPr>
        <w:pStyle w:val="PlainText"/>
        <w:spacing w:line="360" w:lineRule="auto"/>
        <w:rPr>
          <w:rFonts w:ascii="Times New Roman" w:hAnsi="Times New Roman" w:cs="Times New Roman"/>
          <w:sz w:val="24"/>
          <w:szCs w:val="24"/>
          <w:lang w:val="en-US"/>
        </w:rPr>
      </w:pPr>
      <w:r w:rsidRPr="00EA2DE1">
        <w:rPr>
          <w:rFonts w:ascii="Times New Roman" w:hAnsi="Times New Roman" w:cs="Times New Roman"/>
          <w:sz w:val="24"/>
          <w:szCs w:val="24"/>
          <w:lang w:val="en-US"/>
        </w:rPr>
        <w:t xml:space="preserve">At the national level, the most successful Kurdish </w:t>
      </w:r>
      <w:r w:rsidR="0053576E">
        <w:rPr>
          <w:rFonts w:ascii="Times New Roman" w:hAnsi="Times New Roman" w:cs="Times New Roman"/>
          <w:sz w:val="24"/>
          <w:szCs w:val="24"/>
          <w:lang w:val="en-US"/>
        </w:rPr>
        <w:t xml:space="preserve">nationalist </w:t>
      </w:r>
      <w:r w:rsidRPr="00EA2DE1">
        <w:rPr>
          <w:rFonts w:ascii="Times New Roman" w:hAnsi="Times New Roman" w:cs="Times New Roman"/>
          <w:sz w:val="24"/>
          <w:szCs w:val="24"/>
          <w:lang w:val="en-US"/>
        </w:rPr>
        <w:t>political party has been HADEP</w:t>
      </w:r>
      <w:r w:rsidR="00A8615A">
        <w:rPr>
          <w:rFonts w:ascii="Times New Roman" w:hAnsi="Times New Roman" w:cs="Times New Roman"/>
          <w:sz w:val="24"/>
          <w:szCs w:val="24"/>
          <w:lang w:val="en-US"/>
        </w:rPr>
        <w:t xml:space="preserve">, which was banned in 2006, and </w:t>
      </w:r>
      <w:r w:rsidRPr="00EA2DE1">
        <w:rPr>
          <w:rFonts w:ascii="Times New Roman" w:hAnsi="Times New Roman" w:cs="Times New Roman"/>
          <w:sz w:val="24"/>
          <w:szCs w:val="24"/>
          <w:lang w:val="en-US"/>
        </w:rPr>
        <w:t>succeeded by the Democratic People´s Party (DEHAP). DEHAP would later merge with the DHP to form the DTP, proscribed by the Constitutional Court shortly afterwards (2009). With an average of 5 percent of the votes during its three electoral participations (1995, 1999 and 2002), neither HADEP nor its successor managed to reach the 10 percent electoral threshold and, there</w:t>
      </w:r>
      <w:r w:rsidR="00A8615A">
        <w:rPr>
          <w:rFonts w:ascii="Times New Roman" w:hAnsi="Times New Roman" w:cs="Times New Roman"/>
          <w:sz w:val="24"/>
          <w:szCs w:val="24"/>
          <w:lang w:val="en-US"/>
        </w:rPr>
        <w:t>by</w:t>
      </w:r>
      <w:r w:rsidRPr="00EA2DE1">
        <w:rPr>
          <w:rFonts w:ascii="Times New Roman" w:hAnsi="Times New Roman" w:cs="Times New Roman"/>
          <w:sz w:val="24"/>
          <w:szCs w:val="24"/>
          <w:lang w:val="en-US"/>
        </w:rPr>
        <w:t>, obtain parliamentary representation.</w:t>
      </w:r>
    </w:p>
    <w:p w:rsidR="00A8615A" w:rsidRPr="00EA2DE1" w:rsidRDefault="00A8615A" w:rsidP="00EA2DE1">
      <w:pPr>
        <w:pStyle w:val="PlainText"/>
        <w:spacing w:line="360" w:lineRule="auto"/>
        <w:rPr>
          <w:rFonts w:ascii="Times New Roman" w:hAnsi="Times New Roman" w:cs="Times New Roman"/>
          <w:sz w:val="24"/>
          <w:szCs w:val="24"/>
          <w:lang w:val="en-US"/>
        </w:rPr>
      </w:pPr>
    </w:p>
    <w:p w:rsidR="008270A0" w:rsidRPr="00A8615A" w:rsidRDefault="008270A0" w:rsidP="00A8615A">
      <w:pPr>
        <w:spacing w:after="0" w:line="240" w:lineRule="auto"/>
        <w:jc w:val="center"/>
        <w:rPr>
          <w:rFonts w:ascii="Times New Roman" w:hAnsi="Times New Roman" w:cs="Times New Roman"/>
          <w:b/>
          <w:sz w:val="24"/>
          <w:szCs w:val="24"/>
          <w:lang w:val="en-US"/>
        </w:rPr>
      </w:pPr>
      <w:proofErr w:type="gramStart"/>
      <w:r w:rsidRPr="00A8615A">
        <w:rPr>
          <w:rFonts w:ascii="Times New Roman" w:hAnsi="Times New Roman" w:cs="Times New Roman"/>
          <w:b/>
          <w:sz w:val="24"/>
          <w:szCs w:val="24"/>
          <w:lang w:val="en-US"/>
        </w:rPr>
        <w:t xml:space="preserve">Table </w:t>
      </w:r>
      <w:r w:rsidR="00A8615A">
        <w:rPr>
          <w:rFonts w:ascii="Times New Roman" w:hAnsi="Times New Roman" w:cs="Times New Roman"/>
          <w:b/>
          <w:sz w:val="24"/>
          <w:szCs w:val="24"/>
          <w:lang w:val="en-US"/>
        </w:rPr>
        <w:t>8</w:t>
      </w:r>
      <w:r w:rsidRPr="00A8615A">
        <w:rPr>
          <w:rFonts w:ascii="Times New Roman" w:hAnsi="Times New Roman" w:cs="Times New Roman"/>
          <w:b/>
          <w:sz w:val="24"/>
          <w:szCs w:val="24"/>
          <w:lang w:val="en-US"/>
        </w:rPr>
        <w:t>.</w:t>
      </w:r>
      <w:proofErr w:type="gramEnd"/>
      <w:r w:rsidRPr="00A8615A">
        <w:rPr>
          <w:rFonts w:ascii="Times New Roman" w:hAnsi="Times New Roman" w:cs="Times New Roman"/>
          <w:b/>
          <w:sz w:val="24"/>
          <w:szCs w:val="24"/>
          <w:lang w:val="en-US"/>
        </w:rPr>
        <w:t xml:space="preserve"> Party system indicators in Turkey (1983-2011)</w:t>
      </w:r>
    </w:p>
    <w:p w:rsidR="00A8615A" w:rsidRPr="00161C1B" w:rsidRDefault="00A8615A" w:rsidP="00A8615A">
      <w:pPr>
        <w:spacing w:after="0" w:line="240" w:lineRule="auto"/>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123"/>
        <w:gridCol w:w="828"/>
        <w:gridCol w:w="851"/>
        <w:gridCol w:w="992"/>
        <w:gridCol w:w="1126"/>
        <w:gridCol w:w="1243"/>
        <w:gridCol w:w="749"/>
        <w:gridCol w:w="993"/>
        <w:gridCol w:w="815"/>
      </w:tblGrid>
      <w:tr w:rsidR="008270A0" w:rsidRPr="00161C1B" w:rsidTr="00895231">
        <w:tc>
          <w:tcPr>
            <w:tcW w:w="1123" w:type="dxa"/>
          </w:tcPr>
          <w:p w:rsidR="008270A0" w:rsidRDefault="008270A0" w:rsidP="00895231">
            <w:pPr>
              <w:jc w:val="center"/>
              <w:rPr>
                <w:sz w:val="22"/>
                <w:szCs w:val="22"/>
                <w:lang w:val="en-US"/>
              </w:rPr>
            </w:pPr>
          </w:p>
          <w:p w:rsidR="00A8615A" w:rsidRPr="00161C1B" w:rsidRDefault="00A8615A" w:rsidP="00895231">
            <w:pPr>
              <w:jc w:val="center"/>
              <w:rPr>
                <w:sz w:val="22"/>
                <w:szCs w:val="22"/>
                <w:lang w:val="en-US"/>
              </w:rPr>
            </w:pPr>
          </w:p>
        </w:tc>
        <w:tc>
          <w:tcPr>
            <w:tcW w:w="828" w:type="dxa"/>
            <w:vAlign w:val="center"/>
          </w:tcPr>
          <w:p w:rsidR="008270A0" w:rsidRPr="00161C1B" w:rsidRDefault="008270A0" w:rsidP="00895231">
            <w:pPr>
              <w:jc w:val="center"/>
              <w:rPr>
                <w:b/>
                <w:bCs/>
                <w:color w:val="000000"/>
                <w:sz w:val="22"/>
                <w:szCs w:val="22"/>
              </w:rPr>
            </w:pPr>
            <w:r w:rsidRPr="00161C1B">
              <w:rPr>
                <w:b/>
                <w:bCs/>
                <w:color w:val="000000"/>
                <w:sz w:val="22"/>
                <w:szCs w:val="22"/>
              </w:rPr>
              <w:t>1983</w:t>
            </w:r>
          </w:p>
        </w:tc>
        <w:tc>
          <w:tcPr>
            <w:tcW w:w="851" w:type="dxa"/>
            <w:vAlign w:val="center"/>
          </w:tcPr>
          <w:p w:rsidR="008270A0" w:rsidRPr="00161C1B" w:rsidRDefault="008270A0" w:rsidP="00895231">
            <w:pPr>
              <w:jc w:val="center"/>
              <w:rPr>
                <w:b/>
                <w:bCs/>
                <w:color w:val="000000"/>
                <w:sz w:val="22"/>
                <w:szCs w:val="22"/>
              </w:rPr>
            </w:pPr>
            <w:r w:rsidRPr="00161C1B">
              <w:rPr>
                <w:b/>
                <w:bCs/>
                <w:color w:val="000000"/>
                <w:sz w:val="22"/>
                <w:szCs w:val="22"/>
              </w:rPr>
              <w:t>1987</w:t>
            </w:r>
          </w:p>
        </w:tc>
        <w:tc>
          <w:tcPr>
            <w:tcW w:w="992" w:type="dxa"/>
            <w:vAlign w:val="center"/>
          </w:tcPr>
          <w:p w:rsidR="008270A0" w:rsidRPr="00161C1B" w:rsidRDefault="008270A0" w:rsidP="00895231">
            <w:pPr>
              <w:jc w:val="center"/>
              <w:rPr>
                <w:b/>
                <w:bCs/>
                <w:color w:val="000000"/>
                <w:sz w:val="22"/>
                <w:szCs w:val="22"/>
              </w:rPr>
            </w:pPr>
            <w:r w:rsidRPr="00161C1B">
              <w:rPr>
                <w:b/>
                <w:bCs/>
                <w:color w:val="000000"/>
                <w:sz w:val="22"/>
                <w:szCs w:val="22"/>
              </w:rPr>
              <w:t>1991</w:t>
            </w:r>
          </w:p>
        </w:tc>
        <w:tc>
          <w:tcPr>
            <w:tcW w:w="1126" w:type="dxa"/>
            <w:vAlign w:val="center"/>
          </w:tcPr>
          <w:p w:rsidR="008270A0" w:rsidRPr="00161C1B" w:rsidRDefault="008270A0" w:rsidP="00895231">
            <w:pPr>
              <w:jc w:val="center"/>
              <w:rPr>
                <w:b/>
                <w:bCs/>
                <w:color w:val="000000"/>
                <w:sz w:val="22"/>
                <w:szCs w:val="22"/>
              </w:rPr>
            </w:pPr>
            <w:r w:rsidRPr="00161C1B">
              <w:rPr>
                <w:b/>
                <w:bCs/>
                <w:color w:val="000000"/>
                <w:sz w:val="22"/>
                <w:szCs w:val="22"/>
              </w:rPr>
              <w:t>1995</w:t>
            </w:r>
          </w:p>
        </w:tc>
        <w:tc>
          <w:tcPr>
            <w:tcW w:w="1243" w:type="dxa"/>
            <w:vAlign w:val="center"/>
          </w:tcPr>
          <w:p w:rsidR="008270A0" w:rsidRPr="00161C1B" w:rsidRDefault="008270A0" w:rsidP="00895231">
            <w:pPr>
              <w:jc w:val="center"/>
              <w:rPr>
                <w:b/>
                <w:bCs/>
                <w:color w:val="000000"/>
                <w:sz w:val="22"/>
                <w:szCs w:val="22"/>
              </w:rPr>
            </w:pPr>
            <w:r w:rsidRPr="00161C1B">
              <w:rPr>
                <w:b/>
                <w:bCs/>
                <w:color w:val="000000"/>
                <w:sz w:val="22"/>
                <w:szCs w:val="22"/>
              </w:rPr>
              <w:t>1999</w:t>
            </w:r>
          </w:p>
        </w:tc>
        <w:tc>
          <w:tcPr>
            <w:tcW w:w="749" w:type="dxa"/>
            <w:vAlign w:val="center"/>
          </w:tcPr>
          <w:p w:rsidR="008270A0" w:rsidRPr="00161C1B" w:rsidRDefault="008270A0" w:rsidP="00895231">
            <w:pPr>
              <w:jc w:val="center"/>
              <w:rPr>
                <w:b/>
                <w:bCs/>
                <w:color w:val="000000"/>
                <w:sz w:val="22"/>
                <w:szCs w:val="22"/>
              </w:rPr>
            </w:pPr>
            <w:r w:rsidRPr="00161C1B">
              <w:rPr>
                <w:b/>
                <w:bCs/>
                <w:color w:val="000000"/>
                <w:sz w:val="22"/>
                <w:szCs w:val="22"/>
              </w:rPr>
              <w:t>2002</w:t>
            </w:r>
          </w:p>
        </w:tc>
        <w:tc>
          <w:tcPr>
            <w:tcW w:w="993" w:type="dxa"/>
            <w:vAlign w:val="center"/>
          </w:tcPr>
          <w:p w:rsidR="008270A0" w:rsidRPr="00161C1B" w:rsidRDefault="008270A0" w:rsidP="00895231">
            <w:pPr>
              <w:jc w:val="center"/>
              <w:rPr>
                <w:b/>
                <w:bCs/>
                <w:color w:val="000000"/>
                <w:sz w:val="22"/>
                <w:szCs w:val="22"/>
              </w:rPr>
            </w:pPr>
            <w:r w:rsidRPr="00161C1B">
              <w:rPr>
                <w:b/>
                <w:bCs/>
                <w:color w:val="000000"/>
                <w:sz w:val="22"/>
                <w:szCs w:val="22"/>
              </w:rPr>
              <w:t>2007</w:t>
            </w:r>
          </w:p>
        </w:tc>
        <w:tc>
          <w:tcPr>
            <w:tcW w:w="815" w:type="dxa"/>
            <w:vAlign w:val="center"/>
          </w:tcPr>
          <w:p w:rsidR="008270A0" w:rsidRPr="00161C1B" w:rsidRDefault="008270A0" w:rsidP="00895231">
            <w:pPr>
              <w:jc w:val="center"/>
              <w:rPr>
                <w:b/>
                <w:bCs/>
                <w:color w:val="000000"/>
                <w:sz w:val="22"/>
                <w:szCs w:val="22"/>
              </w:rPr>
            </w:pPr>
            <w:r w:rsidRPr="00161C1B">
              <w:rPr>
                <w:b/>
                <w:bCs/>
                <w:color w:val="000000"/>
                <w:sz w:val="22"/>
                <w:szCs w:val="22"/>
              </w:rPr>
              <w:t>2011</w:t>
            </w:r>
          </w:p>
        </w:tc>
      </w:tr>
      <w:tr w:rsidR="008270A0" w:rsidRPr="00161C1B" w:rsidTr="00895231">
        <w:tc>
          <w:tcPr>
            <w:tcW w:w="1123" w:type="dxa"/>
          </w:tcPr>
          <w:p w:rsidR="008270A0" w:rsidRPr="00161C1B" w:rsidRDefault="008270A0" w:rsidP="00895231">
            <w:pPr>
              <w:jc w:val="center"/>
              <w:rPr>
                <w:b/>
                <w:sz w:val="22"/>
                <w:szCs w:val="22"/>
                <w:lang w:val="en-US"/>
              </w:rPr>
            </w:pPr>
            <w:r w:rsidRPr="00161C1B">
              <w:rPr>
                <w:b/>
                <w:sz w:val="22"/>
                <w:szCs w:val="22"/>
                <w:lang w:val="en-US"/>
              </w:rPr>
              <w:t>TEV</w:t>
            </w:r>
          </w:p>
        </w:tc>
        <w:tc>
          <w:tcPr>
            <w:tcW w:w="828" w:type="dxa"/>
            <w:vAlign w:val="bottom"/>
          </w:tcPr>
          <w:p w:rsidR="008270A0" w:rsidRPr="00161C1B" w:rsidRDefault="008270A0" w:rsidP="00895231">
            <w:pPr>
              <w:jc w:val="center"/>
              <w:rPr>
                <w:bCs/>
                <w:color w:val="000000"/>
                <w:sz w:val="22"/>
                <w:szCs w:val="22"/>
              </w:rPr>
            </w:pPr>
            <w:r w:rsidRPr="00161C1B">
              <w:rPr>
                <w:bCs/>
                <w:color w:val="000000"/>
                <w:sz w:val="22"/>
                <w:szCs w:val="22"/>
              </w:rPr>
              <w:t>n/a</w:t>
            </w:r>
          </w:p>
        </w:tc>
        <w:tc>
          <w:tcPr>
            <w:tcW w:w="851" w:type="dxa"/>
            <w:vAlign w:val="bottom"/>
          </w:tcPr>
          <w:p w:rsidR="008270A0" w:rsidRPr="00161C1B" w:rsidRDefault="008270A0" w:rsidP="00895231">
            <w:pPr>
              <w:jc w:val="center"/>
              <w:rPr>
                <w:bCs/>
                <w:color w:val="000000"/>
                <w:sz w:val="22"/>
                <w:szCs w:val="22"/>
              </w:rPr>
            </w:pPr>
            <w:r w:rsidRPr="00161C1B">
              <w:rPr>
                <w:bCs/>
                <w:color w:val="000000"/>
                <w:sz w:val="22"/>
                <w:szCs w:val="22"/>
              </w:rPr>
              <w:t>38.5</w:t>
            </w:r>
          </w:p>
        </w:tc>
        <w:tc>
          <w:tcPr>
            <w:tcW w:w="992" w:type="dxa"/>
            <w:vAlign w:val="bottom"/>
          </w:tcPr>
          <w:p w:rsidR="008270A0" w:rsidRPr="00161C1B" w:rsidRDefault="008270A0" w:rsidP="00895231">
            <w:pPr>
              <w:jc w:val="center"/>
              <w:rPr>
                <w:bCs/>
                <w:color w:val="000000"/>
                <w:sz w:val="22"/>
                <w:szCs w:val="22"/>
              </w:rPr>
            </w:pPr>
            <w:r w:rsidRPr="00161C1B">
              <w:rPr>
                <w:bCs/>
                <w:color w:val="000000"/>
                <w:sz w:val="22"/>
                <w:szCs w:val="22"/>
              </w:rPr>
              <w:t>20.3</w:t>
            </w:r>
          </w:p>
        </w:tc>
        <w:tc>
          <w:tcPr>
            <w:tcW w:w="1126" w:type="dxa"/>
            <w:vAlign w:val="bottom"/>
          </w:tcPr>
          <w:p w:rsidR="008270A0" w:rsidRPr="00161C1B" w:rsidRDefault="008270A0" w:rsidP="00895231">
            <w:pPr>
              <w:jc w:val="center"/>
              <w:rPr>
                <w:bCs/>
                <w:color w:val="000000"/>
                <w:sz w:val="22"/>
                <w:szCs w:val="22"/>
              </w:rPr>
            </w:pPr>
            <w:r w:rsidRPr="00161C1B">
              <w:rPr>
                <w:bCs/>
                <w:color w:val="000000"/>
                <w:sz w:val="22"/>
                <w:szCs w:val="22"/>
              </w:rPr>
              <w:t>22.2</w:t>
            </w:r>
          </w:p>
        </w:tc>
        <w:tc>
          <w:tcPr>
            <w:tcW w:w="1243" w:type="dxa"/>
            <w:vAlign w:val="bottom"/>
          </w:tcPr>
          <w:p w:rsidR="008270A0" w:rsidRPr="00161C1B" w:rsidRDefault="008270A0" w:rsidP="00895231">
            <w:pPr>
              <w:jc w:val="center"/>
              <w:rPr>
                <w:bCs/>
                <w:color w:val="000000"/>
                <w:sz w:val="22"/>
                <w:szCs w:val="22"/>
              </w:rPr>
            </w:pPr>
            <w:r w:rsidRPr="00161C1B">
              <w:rPr>
                <w:bCs/>
                <w:color w:val="000000"/>
                <w:sz w:val="22"/>
                <w:szCs w:val="22"/>
              </w:rPr>
              <w:t>22.1</w:t>
            </w:r>
          </w:p>
        </w:tc>
        <w:tc>
          <w:tcPr>
            <w:tcW w:w="749" w:type="dxa"/>
            <w:vAlign w:val="bottom"/>
          </w:tcPr>
          <w:p w:rsidR="008270A0" w:rsidRPr="00161C1B" w:rsidRDefault="008270A0" w:rsidP="00895231">
            <w:pPr>
              <w:jc w:val="center"/>
              <w:rPr>
                <w:bCs/>
                <w:color w:val="000000"/>
                <w:sz w:val="22"/>
                <w:szCs w:val="22"/>
              </w:rPr>
            </w:pPr>
            <w:r w:rsidRPr="00161C1B">
              <w:rPr>
                <w:bCs/>
                <w:color w:val="000000"/>
                <w:sz w:val="22"/>
                <w:szCs w:val="22"/>
              </w:rPr>
              <w:t>42.6</w:t>
            </w:r>
          </w:p>
        </w:tc>
        <w:tc>
          <w:tcPr>
            <w:tcW w:w="993" w:type="dxa"/>
            <w:vAlign w:val="bottom"/>
          </w:tcPr>
          <w:p w:rsidR="008270A0" w:rsidRPr="00161C1B" w:rsidRDefault="008270A0" w:rsidP="00895231">
            <w:pPr>
              <w:jc w:val="center"/>
              <w:rPr>
                <w:bCs/>
                <w:color w:val="000000"/>
                <w:sz w:val="22"/>
                <w:szCs w:val="22"/>
              </w:rPr>
            </w:pPr>
            <w:r w:rsidRPr="00161C1B">
              <w:rPr>
                <w:bCs/>
                <w:color w:val="000000"/>
                <w:sz w:val="22"/>
                <w:szCs w:val="22"/>
              </w:rPr>
              <w:t>23.6</w:t>
            </w:r>
          </w:p>
        </w:tc>
        <w:tc>
          <w:tcPr>
            <w:tcW w:w="815" w:type="dxa"/>
            <w:vAlign w:val="bottom"/>
          </w:tcPr>
          <w:p w:rsidR="008270A0" w:rsidRPr="00161C1B" w:rsidRDefault="008270A0" w:rsidP="00895231">
            <w:pPr>
              <w:jc w:val="center"/>
              <w:rPr>
                <w:bCs/>
                <w:color w:val="000000"/>
                <w:sz w:val="22"/>
                <w:szCs w:val="22"/>
              </w:rPr>
            </w:pPr>
            <w:r w:rsidRPr="00161C1B">
              <w:rPr>
                <w:bCs/>
                <w:color w:val="000000"/>
                <w:sz w:val="22"/>
                <w:szCs w:val="22"/>
              </w:rPr>
              <w:t>11.1</w:t>
            </w:r>
          </w:p>
        </w:tc>
      </w:tr>
      <w:tr w:rsidR="008270A0" w:rsidRPr="00161C1B" w:rsidTr="00895231">
        <w:tc>
          <w:tcPr>
            <w:tcW w:w="1123" w:type="dxa"/>
          </w:tcPr>
          <w:p w:rsidR="008270A0" w:rsidRPr="00161C1B" w:rsidRDefault="008270A0" w:rsidP="00895231">
            <w:pPr>
              <w:jc w:val="center"/>
              <w:rPr>
                <w:b/>
                <w:sz w:val="22"/>
                <w:szCs w:val="22"/>
                <w:lang w:val="en-US"/>
              </w:rPr>
            </w:pPr>
            <w:r w:rsidRPr="00161C1B">
              <w:rPr>
                <w:b/>
                <w:sz w:val="22"/>
                <w:szCs w:val="22"/>
                <w:lang w:val="en-US"/>
              </w:rPr>
              <w:t>ENEP</w:t>
            </w:r>
          </w:p>
        </w:tc>
        <w:tc>
          <w:tcPr>
            <w:tcW w:w="828" w:type="dxa"/>
            <w:vAlign w:val="bottom"/>
          </w:tcPr>
          <w:p w:rsidR="008270A0" w:rsidRPr="00161C1B" w:rsidRDefault="008270A0" w:rsidP="00895231">
            <w:pPr>
              <w:jc w:val="center"/>
              <w:rPr>
                <w:color w:val="000000"/>
                <w:sz w:val="22"/>
                <w:szCs w:val="22"/>
              </w:rPr>
            </w:pPr>
            <w:r w:rsidRPr="00161C1B">
              <w:rPr>
                <w:color w:val="000000"/>
                <w:sz w:val="22"/>
                <w:szCs w:val="22"/>
              </w:rPr>
              <w:t>2.9</w:t>
            </w:r>
          </w:p>
        </w:tc>
        <w:tc>
          <w:tcPr>
            <w:tcW w:w="851" w:type="dxa"/>
            <w:vAlign w:val="bottom"/>
          </w:tcPr>
          <w:p w:rsidR="008270A0" w:rsidRPr="00161C1B" w:rsidRDefault="008270A0" w:rsidP="00895231">
            <w:pPr>
              <w:jc w:val="center"/>
              <w:rPr>
                <w:color w:val="000000"/>
                <w:sz w:val="22"/>
                <w:szCs w:val="22"/>
              </w:rPr>
            </w:pPr>
            <w:r w:rsidRPr="00161C1B">
              <w:rPr>
                <w:color w:val="000000"/>
                <w:sz w:val="22"/>
                <w:szCs w:val="22"/>
              </w:rPr>
              <w:t>4.1</w:t>
            </w:r>
          </w:p>
        </w:tc>
        <w:tc>
          <w:tcPr>
            <w:tcW w:w="992" w:type="dxa"/>
            <w:vAlign w:val="bottom"/>
          </w:tcPr>
          <w:p w:rsidR="008270A0" w:rsidRPr="00161C1B" w:rsidRDefault="008270A0" w:rsidP="00895231">
            <w:pPr>
              <w:jc w:val="center"/>
              <w:rPr>
                <w:color w:val="000000"/>
                <w:sz w:val="22"/>
                <w:szCs w:val="22"/>
              </w:rPr>
            </w:pPr>
            <w:r w:rsidRPr="00161C1B">
              <w:rPr>
                <w:color w:val="000000"/>
                <w:sz w:val="22"/>
                <w:szCs w:val="22"/>
              </w:rPr>
              <w:t>4.7</w:t>
            </w:r>
          </w:p>
        </w:tc>
        <w:tc>
          <w:tcPr>
            <w:tcW w:w="1126" w:type="dxa"/>
            <w:vAlign w:val="bottom"/>
          </w:tcPr>
          <w:p w:rsidR="008270A0" w:rsidRPr="00161C1B" w:rsidRDefault="008270A0" w:rsidP="00895231">
            <w:pPr>
              <w:jc w:val="center"/>
              <w:rPr>
                <w:color w:val="000000"/>
                <w:sz w:val="22"/>
                <w:szCs w:val="22"/>
              </w:rPr>
            </w:pPr>
            <w:r w:rsidRPr="00161C1B">
              <w:rPr>
                <w:color w:val="000000"/>
                <w:sz w:val="22"/>
                <w:szCs w:val="22"/>
              </w:rPr>
              <w:t>6.1</w:t>
            </w:r>
          </w:p>
        </w:tc>
        <w:tc>
          <w:tcPr>
            <w:tcW w:w="1243" w:type="dxa"/>
            <w:vAlign w:val="bottom"/>
          </w:tcPr>
          <w:p w:rsidR="008270A0" w:rsidRPr="00161C1B" w:rsidRDefault="008270A0" w:rsidP="00895231">
            <w:pPr>
              <w:jc w:val="center"/>
              <w:rPr>
                <w:color w:val="000000"/>
                <w:sz w:val="22"/>
                <w:szCs w:val="22"/>
              </w:rPr>
            </w:pPr>
            <w:r w:rsidRPr="00161C1B">
              <w:rPr>
                <w:color w:val="000000"/>
                <w:sz w:val="22"/>
                <w:szCs w:val="22"/>
              </w:rPr>
              <w:t>6.8</w:t>
            </w:r>
          </w:p>
        </w:tc>
        <w:tc>
          <w:tcPr>
            <w:tcW w:w="749" w:type="dxa"/>
            <w:vAlign w:val="bottom"/>
          </w:tcPr>
          <w:p w:rsidR="008270A0" w:rsidRPr="00161C1B" w:rsidRDefault="008270A0" w:rsidP="00895231">
            <w:pPr>
              <w:jc w:val="center"/>
              <w:rPr>
                <w:color w:val="000000"/>
                <w:sz w:val="22"/>
                <w:szCs w:val="22"/>
              </w:rPr>
            </w:pPr>
            <w:r w:rsidRPr="00161C1B">
              <w:rPr>
                <w:color w:val="000000"/>
                <w:sz w:val="22"/>
                <w:szCs w:val="22"/>
              </w:rPr>
              <w:t>5.4</w:t>
            </w:r>
          </w:p>
        </w:tc>
        <w:tc>
          <w:tcPr>
            <w:tcW w:w="993" w:type="dxa"/>
            <w:vAlign w:val="bottom"/>
          </w:tcPr>
          <w:p w:rsidR="008270A0" w:rsidRPr="00161C1B" w:rsidRDefault="008270A0" w:rsidP="00895231">
            <w:pPr>
              <w:jc w:val="center"/>
              <w:rPr>
                <w:color w:val="000000"/>
                <w:sz w:val="22"/>
                <w:szCs w:val="22"/>
              </w:rPr>
            </w:pPr>
            <w:r w:rsidRPr="00161C1B">
              <w:rPr>
                <w:color w:val="000000"/>
                <w:sz w:val="22"/>
                <w:szCs w:val="22"/>
              </w:rPr>
              <w:t>3.5</w:t>
            </w:r>
          </w:p>
        </w:tc>
        <w:tc>
          <w:tcPr>
            <w:tcW w:w="815" w:type="dxa"/>
            <w:vAlign w:val="bottom"/>
          </w:tcPr>
          <w:p w:rsidR="008270A0" w:rsidRPr="00161C1B" w:rsidRDefault="008270A0" w:rsidP="00895231">
            <w:pPr>
              <w:jc w:val="center"/>
              <w:rPr>
                <w:color w:val="000000"/>
                <w:sz w:val="22"/>
                <w:szCs w:val="22"/>
              </w:rPr>
            </w:pPr>
            <w:r w:rsidRPr="00161C1B">
              <w:rPr>
                <w:color w:val="000000"/>
                <w:sz w:val="22"/>
                <w:szCs w:val="22"/>
              </w:rPr>
              <w:t>3</w:t>
            </w:r>
          </w:p>
        </w:tc>
      </w:tr>
      <w:tr w:rsidR="008270A0" w:rsidRPr="00161C1B" w:rsidTr="00895231">
        <w:tc>
          <w:tcPr>
            <w:tcW w:w="1123" w:type="dxa"/>
          </w:tcPr>
          <w:p w:rsidR="008270A0" w:rsidRPr="00161C1B" w:rsidRDefault="008270A0" w:rsidP="00895231">
            <w:pPr>
              <w:jc w:val="center"/>
              <w:rPr>
                <w:b/>
                <w:sz w:val="22"/>
                <w:szCs w:val="22"/>
                <w:lang w:val="en-US"/>
              </w:rPr>
            </w:pPr>
            <w:r w:rsidRPr="00161C1B">
              <w:rPr>
                <w:b/>
                <w:sz w:val="22"/>
                <w:szCs w:val="22"/>
                <w:lang w:val="en-US"/>
              </w:rPr>
              <w:t>ENPP</w:t>
            </w:r>
          </w:p>
        </w:tc>
        <w:tc>
          <w:tcPr>
            <w:tcW w:w="828" w:type="dxa"/>
            <w:vAlign w:val="bottom"/>
          </w:tcPr>
          <w:p w:rsidR="008270A0" w:rsidRPr="00161C1B" w:rsidRDefault="008270A0" w:rsidP="00895231">
            <w:pPr>
              <w:jc w:val="center"/>
              <w:rPr>
                <w:color w:val="000000"/>
                <w:sz w:val="22"/>
                <w:szCs w:val="22"/>
              </w:rPr>
            </w:pPr>
            <w:r w:rsidRPr="00161C1B">
              <w:rPr>
                <w:color w:val="000000"/>
                <w:sz w:val="22"/>
                <w:szCs w:val="22"/>
              </w:rPr>
              <w:t>2.5</w:t>
            </w:r>
          </w:p>
        </w:tc>
        <w:tc>
          <w:tcPr>
            <w:tcW w:w="851" w:type="dxa"/>
            <w:vAlign w:val="bottom"/>
          </w:tcPr>
          <w:p w:rsidR="008270A0" w:rsidRPr="00161C1B" w:rsidRDefault="008270A0" w:rsidP="00895231">
            <w:pPr>
              <w:jc w:val="center"/>
              <w:rPr>
                <w:color w:val="000000"/>
                <w:sz w:val="22"/>
                <w:szCs w:val="22"/>
              </w:rPr>
            </w:pPr>
            <w:r w:rsidRPr="00161C1B">
              <w:rPr>
                <w:color w:val="000000"/>
                <w:sz w:val="22"/>
                <w:szCs w:val="22"/>
              </w:rPr>
              <w:t>2.1</w:t>
            </w:r>
          </w:p>
        </w:tc>
        <w:tc>
          <w:tcPr>
            <w:tcW w:w="992" w:type="dxa"/>
            <w:vAlign w:val="bottom"/>
          </w:tcPr>
          <w:p w:rsidR="008270A0" w:rsidRPr="00161C1B" w:rsidRDefault="008270A0" w:rsidP="00895231">
            <w:pPr>
              <w:jc w:val="center"/>
              <w:rPr>
                <w:color w:val="000000"/>
                <w:sz w:val="22"/>
                <w:szCs w:val="22"/>
              </w:rPr>
            </w:pPr>
            <w:r w:rsidRPr="00161C1B">
              <w:rPr>
                <w:color w:val="000000"/>
                <w:sz w:val="22"/>
                <w:szCs w:val="22"/>
              </w:rPr>
              <w:t>3.6</w:t>
            </w:r>
          </w:p>
        </w:tc>
        <w:tc>
          <w:tcPr>
            <w:tcW w:w="1126" w:type="dxa"/>
            <w:vAlign w:val="bottom"/>
          </w:tcPr>
          <w:p w:rsidR="008270A0" w:rsidRPr="00161C1B" w:rsidRDefault="008270A0" w:rsidP="00895231">
            <w:pPr>
              <w:jc w:val="center"/>
              <w:rPr>
                <w:color w:val="000000"/>
                <w:sz w:val="22"/>
                <w:szCs w:val="22"/>
              </w:rPr>
            </w:pPr>
            <w:r w:rsidRPr="00161C1B">
              <w:rPr>
                <w:color w:val="000000"/>
                <w:sz w:val="22"/>
                <w:szCs w:val="22"/>
              </w:rPr>
              <w:t>4.4</w:t>
            </w:r>
          </w:p>
        </w:tc>
        <w:tc>
          <w:tcPr>
            <w:tcW w:w="1243" w:type="dxa"/>
            <w:vAlign w:val="bottom"/>
          </w:tcPr>
          <w:p w:rsidR="008270A0" w:rsidRPr="00161C1B" w:rsidRDefault="008270A0" w:rsidP="00895231">
            <w:pPr>
              <w:jc w:val="center"/>
              <w:rPr>
                <w:color w:val="000000"/>
                <w:sz w:val="22"/>
                <w:szCs w:val="22"/>
              </w:rPr>
            </w:pPr>
            <w:r w:rsidRPr="00161C1B">
              <w:rPr>
                <w:color w:val="000000"/>
                <w:sz w:val="22"/>
                <w:szCs w:val="22"/>
              </w:rPr>
              <w:t>4.9</w:t>
            </w:r>
          </w:p>
        </w:tc>
        <w:tc>
          <w:tcPr>
            <w:tcW w:w="749" w:type="dxa"/>
            <w:vAlign w:val="bottom"/>
          </w:tcPr>
          <w:p w:rsidR="008270A0" w:rsidRPr="00161C1B" w:rsidRDefault="008270A0" w:rsidP="00895231">
            <w:pPr>
              <w:jc w:val="center"/>
              <w:rPr>
                <w:color w:val="000000"/>
                <w:sz w:val="22"/>
                <w:szCs w:val="22"/>
              </w:rPr>
            </w:pPr>
            <w:r w:rsidRPr="00161C1B">
              <w:rPr>
                <w:color w:val="000000"/>
                <w:sz w:val="22"/>
                <w:szCs w:val="22"/>
              </w:rPr>
              <w:t>1.8</w:t>
            </w:r>
          </w:p>
        </w:tc>
        <w:tc>
          <w:tcPr>
            <w:tcW w:w="993" w:type="dxa"/>
            <w:vAlign w:val="bottom"/>
          </w:tcPr>
          <w:p w:rsidR="008270A0" w:rsidRPr="00161C1B" w:rsidRDefault="008270A0" w:rsidP="00895231">
            <w:pPr>
              <w:jc w:val="center"/>
              <w:rPr>
                <w:color w:val="000000"/>
                <w:sz w:val="22"/>
                <w:szCs w:val="22"/>
              </w:rPr>
            </w:pPr>
            <w:r w:rsidRPr="00161C1B">
              <w:rPr>
                <w:color w:val="000000"/>
                <w:sz w:val="22"/>
                <w:szCs w:val="22"/>
              </w:rPr>
              <w:t>2.3</w:t>
            </w:r>
          </w:p>
        </w:tc>
        <w:tc>
          <w:tcPr>
            <w:tcW w:w="815" w:type="dxa"/>
            <w:vAlign w:val="bottom"/>
          </w:tcPr>
          <w:p w:rsidR="008270A0" w:rsidRPr="00161C1B" w:rsidRDefault="008270A0" w:rsidP="00895231">
            <w:pPr>
              <w:jc w:val="center"/>
              <w:rPr>
                <w:color w:val="000000"/>
                <w:sz w:val="22"/>
                <w:szCs w:val="22"/>
              </w:rPr>
            </w:pPr>
            <w:r w:rsidRPr="00161C1B">
              <w:rPr>
                <w:color w:val="000000"/>
                <w:sz w:val="22"/>
                <w:szCs w:val="22"/>
              </w:rPr>
              <w:t>2.3</w:t>
            </w:r>
          </w:p>
        </w:tc>
      </w:tr>
      <w:tr w:rsidR="008270A0" w:rsidRPr="00161C1B" w:rsidTr="00895231">
        <w:tc>
          <w:tcPr>
            <w:tcW w:w="1123" w:type="dxa"/>
          </w:tcPr>
          <w:p w:rsidR="008270A0" w:rsidRPr="00161C1B" w:rsidRDefault="008270A0" w:rsidP="00895231">
            <w:pPr>
              <w:jc w:val="center"/>
              <w:rPr>
                <w:b/>
                <w:sz w:val="22"/>
                <w:szCs w:val="22"/>
                <w:lang w:val="en-US"/>
              </w:rPr>
            </w:pPr>
            <w:r w:rsidRPr="00161C1B">
              <w:rPr>
                <w:b/>
                <w:sz w:val="22"/>
                <w:szCs w:val="22"/>
                <w:lang w:val="en-US"/>
              </w:rPr>
              <w:t>Spoiled ballots</w:t>
            </w:r>
          </w:p>
        </w:tc>
        <w:tc>
          <w:tcPr>
            <w:tcW w:w="828" w:type="dxa"/>
          </w:tcPr>
          <w:p w:rsidR="008270A0" w:rsidRPr="00161C1B" w:rsidRDefault="008270A0" w:rsidP="00895231">
            <w:pPr>
              <w:jc w:val="center"/>
              <w:rPr>
                <w:sz w:val="22"/>
                <w:szCs w:val="22"/>
                <w:lang w:val="en-US"/>
              </w:rPr>
            </w:pPr>
            <w:r w:rsidRPr="00161C1B">
              <w:rPr>
                <w:sz w:val="22"/>
                <w:szCs w:val="22"/>
                <w:lang w:val="en-US"/>
              </w:rPr>
              <w:t>4.9</w:t>
            </w:r>
          </w:p>
        </w:tc>
        <w:tc>
          <w:tcPr>
            <w:tcW w:w="851" w:type="dxa"/>
          </w:tcPr>
          <w:p w:rsidR="008270A0" w:rsidRPr="00161C1B" w:rsidRDefault="008270A0" w:rsidP="00895231">
            <w:pPr>
              <w:jc w:val="center"/>
              <w:rPr>
                <w:sz w:val="22"/>
                <w:szCs w:val="22"/>
                <w:lang w:val="en-US"/>
              </w:rPr>
            </w:pPr>
            <w:r w:rsidRPr="00161C1B">
              <w:rPr>
                <w:sz w:val="22"/>
                <w:szCs w:val="22"/>
                <w:lang w:val="en-US"/>
              </w:rPr>
              <w:t>2.6</w:t>
            </w:r>
          </w:p>
        </w:tc>
        <w:tc>
          <w:tcPr>
            <w:tcW w:w="992" w:type="dxa"/>
          </w:tcPr>
          <w:p w:rsidR="008270A0" w:rsidRPr="00161C1B" w:rsidRDefault="008270A0" w:rsidP="00895231">
            <w:pPr>
              <w:jc w:val="center"/>
              <w:rPr>
                <w:sz w:val="22"/>
                <w:szCs w:val="22"/>
                <w:lang w:val="en-US"/>
              </w:rPr>
            </w:pPr>
            <w:r w:rsidRPr="00161C1B">
              <w:rPr>
                <w:sz w:val="22"/>
                <w:szCs w:val="22"/>
                <w:lang w:val="en-US"/>
              </w:rPr>
              <w:t>2.9</w:t>
            </w:r>
          </w:p>
        </w:tc>
        <w:tc>
          <w:tcPr>
            <w:tcW w:w="1126" w:type="dxa"/>
          </w:tcPr>
          <w:p w:rsidR="008270A0" w:rsidRPr="00161C1B" w:rsidRDefault="008270A0" w:rsidP="00895231">
            <w:pPr>
              <w:jc w:val="center"/>
              <w:rPr>
                <w:sz w:val="22"/>
                <w:szCs w:val="22"/>
                <w:lang w:val="en-US"/>
              </w:rPr>
            </w:pPr>
            <w:r w:rsidRPr="00161C1B">
              <w:rPr>
                <w:sz w:val="22"/>
                <w:szCs w:val="22"/>
                <w:lang w:val="en-US"/>
              </w:rPr>
              <w:t>3.3</w:t>
            </w:r>
          </w:p>
        </w:tc>
        <w:tc>
          <w:tcPr>
            <w:tcW w:w="1243" w:type="dxa"/>
          </w:tcPr>
          <w:p w:rsidR="008270A0" w:rsidRPr="00161C1B" w:rsidRDefault="008270A0" w:rsidP="00895231">
            <w:pPr>
              <w:jc w:val="center"/>
              <w:rPr>
                <w:sz w:val="22"/>
                <w:szCs w:val="22"/>
                <w:lang w:val="en-US"/>
              </w:rPr>
            </w:pPr>
            <w:r w:rsidRPr="00161C1B">
              <w:rPr>
                <w:sz w:val="22"/>
                <w:szCs w:val="22"/>
                <w:lang w:val="en-US"/>
              </w:rPr>
              <w:t>4.5</w:t>
            </w:r>
          </w:p>
        </w:tc>
        <w:tc>
          <w:tcPr>
            <w:tcW w:w="749" w:type="dxa"/>
          </w:tcPr>
          <w:p w:rsidR="008270A0" w:rsidRPr="00161C1B" w:rsidRDefault="008270A0" w:rsidP="00895231">
            <w:pPr>
              <w:jc w:val="center"/>
              <w:rPr>
                <w:sz w:val="22"/>
                <w:szCs w:val="22"/>
                <w:lang w:val="en-US"/>
              </w:rPr>
            </w:pPr>
            <w:r w:rsidRPr="00161C1B">
              <w:rPr>
                <w:sz w:val="22"/>
                <w:szCs w:val="22"/>
                <w:lang w:val="en-US"/>
              </w:rPr>
              <w:t>3.9</w:t>
            </w:r>
          </w:p>
        </w:tc>
        <w:tc>
          <w:tcPr>
            <w:tcW w:w="993" w:type="dxa"/>
          </w:tcPr>
          <w:p w:rsidR="008270A0" w:rsidRPr="00161C1B" w:rsidRDefault="008270A0" w:rsidP="00895231">
            <w:pPr>
              <w:jc w:val="center"/>
              <w:rPr>
                <w:sz w:val="22"/>
                <w:szCs w:val="22"/>
                <w:lang w:val="en-US"/>
              </w:rPr>
            </w:pPr>
            <w:r w:rsidRPr="00161C1B">
              <w:rPr>
                <w:sz w:val="22"/>
                <w:szCs w:val="22"/>
                <w:lang w:val="en-US"/>
              </w:rPr>
              <w:t>2.8</w:t>
            </w:r>
          </w:p>
        </w:tc>
        <w:tc>
          <w:tcPr>
            <w:tcW w:w="815" w:type="dxa"/>
          </w:tcPr>
          <w:p w:rsidR="008270A0" w:rsidRPr="00161C1B" w:rsidRDefault="008270A0" w:rsidP="00895231">
            <w:pPr>
              <w:jc w:val="center"/>
              <w:rPr>
                <w:sz w:val="22"/>
                <w:szCs w:val="22"/>
                <w:lang w:val="en-US"/>
              </w:rPr>
            </w:pPr>
            <w:r w:rsidRPr="00161C1B">
              <w:rPr>
                <w:sz w:val="22"/>
                <w:szCs w:val="22"/>
                <w:lang w:val="en-US"/>
              </w:rPr>
              <w:t>1.8</w:t>
            </w:r>
          </w:p>
        </w:tc>
      </w:tr>
      <w:tr w:rsidR="008270A0" w:rsidRPr="00161C1B" w:rsidTr="00895231">
        <w:tc>
          <w:tcPr>
            <w:tcW w:w="1123" w:type="dxa"/>
            <w:vMerge w:val="restart"/>
          </w:tcPr>
          <w:p w:rsidR="008270A0" w:rsidRPr="00161C1B" w:rsidRDefault="008270A0" w:rsidP="00895231">
            <w:pPr>
              <w:jc w:val="center"/>
              <w:rPr>
                <w:b/>
                <w:sz w:val="22"/>
                <w:szCs w:val="22"/>
                <w:lang w:val="en-US"/>
              </w:rPr>
            </w:pPr>
          </w:p>
          <w:p w:rsidR="008270A0" w:rsidRPr="00161C1B" w:rsidRDefault="008270A0" w:rsidP="00895231">
            <w:pPr>
              <w:jc w:val="center"/>
              <w:rPr>
                <w:b/>
                <w:sz w:val="22"/>
                <w:szCs w:val="22"/>
                <w:lang w:val="en-US"/>
              </w:rPr>
            </w:pPr>
          </w:p>
          <w:p w:rsidR="008270A0" w:rsidRPr="00161C1B" w:rsidRDefault="008270A0" w:rsidP="00895231">
            <w:pPr>
              <w:jc w:val="center"/>
              <w:rPr>
                <w:b/>
                <w:sz w:val="22"/>
                <w:szCs w:val="22"/>
                <w:lang w:val="en-US"/>
              </w:rPr>
            </w:pPr>
            <w:r w:rsidRPr="00161C1B">
              <w:rPr>
                <w:b/>
                <w:sz w:val="22"/>
                <w:szCs w:val="22"/>
                <w:lang w:val="en-US"/>
              </w:rPr>
              <w:t>Cabinets</w:t>
            </w:r>
          </w:p>
        </w:tc>
        <w:tc>
          <w:tcPr>
            <w:tcW w:w="828" w:type="dxa"/>
            <w:vMerge w:val="restart"/>
          </w:tcPr>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r w:rsidRPr="00161C1B">
              <w:rPr>
                <w:sz w:val="22"/>
                <w:szCs w:val="22"/>
                <w:lang w:val="en-US"/>
              </w:rPr>
              <w:t>ANAP</w:t>
            </w:r>
          </w:p>
        </w:tc>
        <w:tc>
          <w:tcPr>
            <w:tcW w:w="851" w:type="dxa"/>
            <w:vMerge w:val="restart"/>
          </w:tcPr>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r w:rsidRPr="00161C1B">
              <w:rPr>
                <w:sz w:val="22"/>
                <w:szCs w:val="22"/>
                <w:lang w:val="en-US"/>
              </w:rPr>
              <w:t>ANAP</w:t>
            </w:r>
          </w:p>
        </w:tc>
        <w:tc>
          <w:tcPr>
            <w:tcW w:w="992" w:type="dxa"/>
          </w:tcPr>
          <w:p w:rsidR="008270A0" w:rsidRPr="00161C1B" w:rsidRDefault="008270A0" w:rsidP="00895231">
            <w:pPr>
              <w:jc w:val="center"/>
              <w:rPr>
                <w:sz w:val="22"/>
                <w:szCs w:val="22"/>
                <w:lang w:val="en-US"/>
              </w:rPr>
            </w:pPr>
            <w:r w:rsidRPr="00161C1B">
              <w:rPr>
                <w:sz w:val="22"/>
                <w:szCs w:val="22"/>
                <w:lang w:val="en-US"/>
              </w:rPr>
              <w:t>DYP-SHP</w:t>
            </w:r>
          </w:p>
        </w:tc>
        <w:tc>
          <w:tcPr>
            <w:tcW w:w="1126" w:type="dxa"/>
          </w:tcPr>
          <w:p w:rsidR="008270A0" w:rsidRPr="00161C1B" w:rsidRDefault="008270A0" w:rsidP="00895231">
            <w:pPr>
              <w:jc w:val="center"/>
              <w:rPr>
                <w:sz w:val="22"/>
                <w:szCs w:val="22"/>
                <w:lang w:val="en-US"/>
              </w:rPr>
            </w:pPr>
            <w:r w:rsidRPr="00161C1B">
              <w:rPr>
                <w:sz w:val="22"/>
                <w:szCs w:val="22"/>
                <w:lang w:val="en-US"/>
              </w:rPr>
              <w:t>ANAP-DYP</w:t>
            </w:r>
          </w:p>
        </w:tc>
        <w:tc>
          <w:tcPr>
            <w:tcW w:w="1243" w:type="dxa"/>
            <w:vMerge w:val="restart"/>
          </w:tcPr>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r w:rsidRPr="00161C1B">
              <w:rPr>
                <w:sz w:val="22"/>
                <w:szCs w:val="22"/>
                <w:lang w:val="en-US"/>
              </w:rPr>
              <w:t>DSP-MHP-ANAP</w:t>
            </w:r>
          </w:p>
        </w:tc>
        <w:tc>
          <w:tcPr>
            <w:tcW w:w="749" w:type="dxa"/>
            <w:vMerge w:val="restart"/>
          </w:tcPr>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r w:rsidRPr="00161C1B">
              <w:rPr>
                <w:sz w:val="22"/>
                <w:szCs w:val="22"/>
                <w:lang w:val="en-US"/>
              </w:rPr>
              <w:t>AKP</w:t>
            </w:r>
          </w:p>
        </w:tc>
        <w:tc>
          <w:tcPr>
            <w:tcW w:w="993" w:type="dxa"/>
            <w:vMerge w:val="restart"/>
          </w:tcPr>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r w:rsidRPr="00161C1B">
              <w:rPr>
                <w:sz w:val="22"/>
                <w:szCs w:val="22"/>
                <w:lang w:val="en-US"/>
              </w:rPr>
              <w:t>AKP</w:t>
            </w:r>
          </w:p>
        </w:tc>
        <w:tc>
          <w:tcPr>
            <w:tcW w:w="815" w:type="dxa"/>
            <w:vMerge w:val="restart"/>
          </w:tcPr>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p>
          <w:p w:rsidR="008270A0" w:rsidRPr="00161C1B" w:rsidRDefault="008270A0" w:rsidP="00895231">
            <w:pPr>
              <w:jc w:val="center"/>
              <w:rPr>
                <w:sz w:val="22"/>
                <w:szCs w:val="22"/>
                <w:lang w:val="en-US"/>
              </w:rPr>
            </w:pPr>
            <w:r w:rsidRPr="00161C1B">
              <w:rPr>
                <w:sz w:val="22"/>
                <w:szCs w:val="22"/>
                <w:lang w:val="en-US"/>
              </w:rPr>
              <w:t>AKP</w:t>
            </w:r>
          </w:p>
        </w:tc>
      </w:tr>
      <w:tr w:rsidR="008270A0" w:rsidRPr="00161C1B" w:rsidTr="00895231">
        <w:tc>
          <w:tcPr>
            <w:tcW w:w="1123" w:type="dxa"/>
            <w:vMerge/>
          </w:tcPr>
          <w:p w:rsidR="008270A0" w:rsidRPr="00161C1B" w:rsidRDefault="008270A0" w:rsidP="00895231">
            <w:pPr>
              <w:jc w:val="center"/>
              <w:rPr>
                <w:b/>
                <w:sz w:val="22"/>
                <w:szCs w:val="22"/>
                <w:lang w:val="en-US"/>
              </w:rPr>
            </w:pPr>
          </w:p>
        </w:tc>
        <w:tc>
          <w:tcPr>
            <w:tcW w:w="828" w:type="dxa"/>
            <w:vMerge/>
          </w:tcPr>
          <w:p w:rsidR="008270A0" w:rsidRPr="00161C1B" w:rsidRDefault="008270A0" w:rsidP="00895231">
            <w:pPr>
              <w:jc w:val="center"/>
              <w:rPr>
                <w:sz w:val="22"/>
                <w:szCs w:val="22"/>
                <w:lang w:val="en-US"/>
              </w:rPr>
            </w:pPr>
          </w:p>
        </w:tc>
        <w:tc>
          <w:tcPr>
            <w:tcW w:w="851" w:type="dxa"/>
            <w:vMerge/>
          </w:tcPr>
          <w:p w:rsidR="008270A0" w:rsidRPr="00161C1B" w:rsidRDefault="008270A0" w:rsidP="00895231">
            <w:pPr>
              <w:jc w:val="center"/>
              <w:rPr>
                <w:sz w:val="22"/>
                <w:szCs w:val="22"/>
                <w:lang w:val="en-US"/>
              </w:rPr>
            </w:pPr>
          </w:p>
        </w:tc>
        <w:tc>
          <w:tcPr>
            <w:tcW w:w="992" w:type="dxa"/>
          </w:tcPr>
          <w:p w:rsidR="008270A0" w:rsidRPr="00161C1B" w:rsidRDefault="008270A0" w:rsidP="00895231">
            <w:pPr>
              <w:jc w:val="center"/>
              <w:rPr>
                <w:sz w:val="22"/>
                <w:szCs w:val="22"/>
                <w:lang w:val="en-US"/>
              </w:rPr>
            </w:pPr>
            <w:r w:rsidRPr="00161C1B">
              <w:rPr>
                <w:sz w:val="22"/>
                <w:szCs w:val="22"/>
                <w:lang w:val="en-US"/>
              </w:rPr>
              <w:t>DYP</w:t>
            </w:r>
          </w:p>
        </w:tc>
        <w:tc>
          <w:tcPr>
            <w:tcW w:w="1126" w:type="dxa"/>
          </w:tcPr>
          <w:p w:rsidR="008270A0" w:rsidRPr="00161C1B" w:rsidRDefault="008270A0" w:rsidP="00895231">
            <w:pPr>
              <w:jc w:val="center"/>
              <w:rPr>
                <w:sz w:val="22"/>
                <w:szCs w:val="22"/>
                <w:lang w:val="en-US"/>
              </w:rPr>
            </w:pPr>
            <w:r w:rsidRPr="00161C1B">
              <w:rPr>
                <w:sz w:val="22"/>
                <w:szCs w:val="22"/>
                <w:lang w:val="en-US"/>
              </w:rPr>
              <w:t>RP-DYP</w:t>
            </w:r>
          </w:p>
        </w:tc>
        <w:tc>
          <w:tcPr>
            <w:tcW w:w="1243" w:type="dxa"/>
            <w:vMerge/>
          </w:tcPr>
          <w:p w:rsidR="008270A0" w:rsidRPr="00161C1B" w:rsidRDefault="008270A0" w:rsidP="00895231">
            <w:pPr>
              <w:jc w:val="center"/>
              <w:rPr>
                <w:sz w:val="22"/>
                <w:szCs w:val="22"/>
                <w:lang w:val="en-US"/>
              </w:rPr>
            </w:pPr>
          </w:p>
        </w:tc>
        <w:tc>
          <w:tcPr>
            <w:tcW w:w="749" w:type="dxa"/>
            <w:vMerge/>
          </w:tcPr>
          <w:p w:rsidR="008270A0" w:rsidRPr="00161C1B" w:rsidRDefault="008270A0" w:rsidP="00895231">
            <w:pPr>
              <w:jc w:val="center"/>
              <w:rPr>
                <w:sz w:val="22"/>
                <w:szCs w:val="22"/>
                <w:lang w:val="en-US"/>
              </w:rPr>
            </w:pPr>
          </w:p>
        </w:tc>
        <w:tc>
          <w:tcPr>
            <w:tcW w:w="993" w:type="dxa"/>
            <w:vMerge/>
          </w:tcPr>
          <w:p w:rsidR="008270A0" w:rsidRPr="00161C1B" w:rsidRDefault="008270A0" w:rsidP="00895231">
            <w:pPr>
              <w:jc w:val="center"/>
              <w:rPr>
                <w:sz w:val="22"/>
                <w:szCs w:val="22"/>
                <w:lang w:val="en-US"/>
              </w:rPr>
            </w:pPr>
          </w:p>
        </w:tc>
        <w:tc>
          <w:tcPr>
            <w:tcW w:w="815" w:type="dxa"/>
            <w:vMerge/>
          </w:tcPr>
          <w:p w:rsidR="008270A0" w:rsidRPr="00161C1B" w:rsidRDefault="008270A0" w:rsidP="00895231">
            <w:pPr>
              <w:jc w:val="center"/>
              <w:rPr>
                <w:sz w:val="22"/>
                <w:szCs w:val="22"/>
                <w:lang w:val="en-US"/>
              </w:rPr>
            </w:pPr>
          </w:p>
        </w:tc>
      </w:tr>
      <w:tr w:rsidR="008270A0" w:rsidRPr="00161C1B" w:rsidTr="00895231">
        <w:tc>
          <w:tcPr>
            <w:tcW w:w="1123" w:type="dxa"/>
            <w:vMerge/>
          </w:tcPr>
          <w:p w:rsidR="008270A0" w:rsidRPr="00161C1B" w:rsidRDefault="008270A0" w:rsidP="00895231">
            <w:pPr>
              <w:jc w:val="center"/>
              <w:rPr>
                <w:b/>
                <w:sz w:val="22"/>
                <w:szCs w:val="22"/>
                <w:lang w:val="en-US"/>
              </w:rPr>
            </w:pPr>
          </w:p>
        </w:tc>
        <w:tc>
          <w:tcPr>
            <w:tcW w:w="828" w:type="dxa"/>
            <w:vMerge/>
          </w:tcPr>
          <w:p w:rsidR="008270A0" w:rsidRPr="00161C1B" w:rsidRDefault="008270A0" w:rsidP="00895231">
            <w:pPr>
              <w:jc w:val="center"/>
              <w:rPr>
                <w:sz w:val="22"/>
                <w:szCs w:val="22"/>
                <w:lang w:val="en-US"/>
              </w:rPr>
            </w:pPr>
          </w:p>
        </w:tc>
        <w:tc>
          <w:tcPr>
            <w:tcW w:w="851" w:type="dxa"/>
            <w:vMerge/>
          </w:tcPr>
          <w:p w:rsidR="008270A0" w:rsidRPr="00161C1B" w:rsidRDefault="008270A0" w:rsidP="00895231">
            <w:pPr>
              <w:jc w:val="center"/>
              <w:rPr>
                <w:sz w:val="22"/>
                <w:szCs w:val="22"/>
                <w:lang w:val="en-US"/>
              </w:rPr>
            </w:pPr>
          </w:p>
        </w:tc>
        <w:tc>
          <w:tcPr>
            <w:tcW w:w="992" w:type="dxa"/>
          </w:tcPr>
          <w:p w:rsidR="008270A0" w:rsidRPr="00161C1B" w:rsidRDefault="008270A0" w:rsidP="00895231">
            <w:pPr>
              <w:jc w:val="center"/>
              <w:rPr>
                <w:sz w:val="22"/>
                <w:szCs w:val="22"/>
                <w:lang w:val="en-US"/>
              </w:rPr>
            </w:pPr>
            <w:r w:rsidRPr="00161C1B">
              <w:rPr>
                <w:sz w:val="22"/>
                <w:szCs w:val="22"/>
                <w:lang w:val="en-US"/>
              </w:rPr>
              <w:t>DYP-CHP</w:t>
            </w:r>
          </w:p>
        </w:tc>
        <w:tc>
          <w:tcPr>
            <w:tcW w:w="1126" w:type="dxa"/>
          </w:tcPr>
          <w:p w:rsidR="008270A0" w:rsidRPr="00161C1B" w:rsidRDefault="008270A0" w:rsidP="00895231">
            <w:pPr>
              <w:jc w:val="center"/>
              <w:rPr>
                <w:sz w:val="22"/>
                <w:szCs w:val="22"/>
                <w:lang w:val="en-US"/>
              </w:rPr>
            </w:pPr>
            <w:r w:rsidRPr="00161C1B">
              <w:rPr>
                <w:sz w:val="22"/>
                <w:szCs w:val="22"/>
                <w:lang w:val="en-US"/>
              </w:rPr>
              <w:t>ANAP-DSP-DTP</w:t>
            </w:r>
          </w:p>
        </w:tc>
        <w:tc>
          <w:tcPr>
            <w:tcW w:w="1243" w:type="dxa"/>
            <w:vMerge/>
          </w:tcPr>
          <w:p w:rsidR="008270A0" w:rsidRPr="00161C1B" w:rsidRDefault="008270A0" w:rsidP="00895231">
            <w:pPr>
              <w:jc w:val="center"/>
              <w:rPr>
                <w:sz w:val="22"/>
                <w:szCs w:val="22"/>
                <w:lang w:val="en-US"/>
              </w:rPr>
            </w:pPr>
          </w:p>
        </w:tc>
        <w:tc>
          <w:tcPr>
            <w:tcW w:w="749" w:type="dxa"/>
            <w:vMerge/>
          </w:tcPr>
          <w:p w:rsidR="008270A0" w:rsidRPr="00161C1B" w:rsidRDefault="008270A0" w:rsidP="00895231">
            <w:pPr>
              <w:jc w:val="center"/>
              <w:rPr>
                <w:sz w:val="22"/>
                <w:szCs w:val="22"/>
                <w:lang w:val="en-US"/>
              </w:rPr>
            </w:pPr>
          </w:p>
        </w:tc>
        <w:tc>
          <w:tcPr>
            <w:tcW w:w="993" w:type="dxa"/>
            <w:vMerge/>
          </w:tcPr>
          <w:p w:rsidR="008270A0" w:rsidRPr="00161C1B" w:rsidRDefault="008270A0" w:rsidP="00895231">
            <w:pPr>
              <w:jc w:val="center"/>
              <w:rPr>
                <w:sz w:val="22"/>
                <w:szCs w:val="22"/>
                <w:lang w:val="en-US"/>
              </w:rPr>
            </w:pPr>
          </w:p>
        </w:tc>
        <w:tc>
          <w:tcPr>
            <w:tcW w:w="815" w:type="dxa"/>
            <w:vMerge/>
          </w:tcPr>
          <w:p w:rsidR="008270A0" w:rsidRPr="00161C1B" w:rsidRDefault="008270A0" w:rsidP="00895231">
            <w:pPr>
              <w:jc w:val="center"/>
              <w:rPr>
                <w:sz w:val="22"/>
                <w:szCs w:val="22"/>
                <w:lang w:val="en-US"/>
              </w:rPr>
            </w:pPr>
          </w:p>
        </w:tc>
      </w:tr>
      <w:tr w:rsidR="008270A0" w:rsidRPr="00161C1B" w:rsidTr="00895231">
        <w:tc>
          <w:tcPr>
            <w:tcW w:w="1123" w:type="dxa"/>
            <w:vMerge/>
          </w:tcPr>
          <w:p w:rsidR="008270A0" w:rsidRPr="00161C1B" w:rsidRDefault="008270A0" w:rsidP="00895231">
            <w:pPr>
              <w:jc w:val="center"/>
              <w:rPr>
                <w:b/>
                <w:sz w:val="22"/>
                <w:szCs w:val="22"/>
                <w:lang w:val="en-US"/>
              </w:rPr>
            </w:pPr>
          </w:p>
        </w:tc>
        <w:tc>
          <w:tcPr>
            <w:tcW w:w="828" w:type="dxa"/>
            <w:vMerge/>
          </w:tcPr>
          <w:p w:rsidR="008270A0" w:rsidRPr="00161C1B" w:rsidRDefault="008270A0" w:rsidP="00895231">
            <w:pPr>
              <w:jc w:val="center"/>
              <w:rPr>
                <w:sz w:val="22"/>
                <w:szCs w:val="22"/>
                <w:lang w:val="en-US"/>
              </w:rPr>
            </w:pPr>
          </w:p>
        </w:tc>
        <w:tc>
          <w:tcPr>
            <w:tcW w:w="851" w:type="dxa"/>
            <w:vMerge/>
          </w:tcPr>
          <w:p w:rsidR="008270A0" w:rsidRPr="00161C1B" w:rsidRDefault="008270A0" w:rsidP="00895231">
            <w:pPr>
              <w:jc w:val="center"/>
              <w:rPr>
                <w:sz w:val="22"/>
                <w:szCs w:val="22"/>
                <w:lang w:val="en-US"/>
              </w:rPr>
            </w:pPr>
          </w:p>
        </w:tc>
        <w:tc>
          <w:tcPr>
            <w:tcW w:w="992" w:type="dxa"/>
          </w:tcPr>
          <w:p w:rsidR="008270A0" w:rsidRPr="00161C1B" w:rsidRDefault="008270A0" w:rsidP="00895231">
            <w:pPr>
              <w:jc w:val="center"/>
              <w:rPr>
                <w:sz w:val="22"/>
                <w:szCs w:val="22"/>
                <w:lang w:val="en-US"/>
              </w:rPr>
            </w:pPr>
          </w:p>
        </w:tc>
        <w:tc>
          <w:tcPr>
            <w:tcW w:w="1126" w:type="dxa"/>
          </w:tcPr>
          <w:p w:rsidR="008270A0" w:rsidRPr="00161C1B" w:rsidRDefault="008270A0" w:rsidP="00895231">
            <w:pPr>
              <w:jc w:val="center"/>
              <w:rPr>
                <w:sz w:val="22"/>
                <w:szCs w:val="22"/>
                <w:lang w:val="en-US"/>
              </w:rPr>
            </w:pPr>
            <w:r w:rsidRPr="00161C1B">
              <w:rPr>
                <w:sz w:val="22"/>
                <w:szCs w:val="22"/>
                <w:lang w:val="en-US"/>
              </w:rPr>
              <w:t>DSP</w:t>
            </w:r>
          </w:p>
        </w:tc>
        <w:tc>
          <w:tcPr>
            <w:tcW w:w="1243" w:type="dxa"/>
            <w:vMerge/>
          </w:tcPr>
          <w:p w:rsidR="008270A0" w:rsidRPr="00161C1B" w:rsidRDefault="008270A0" w:rsidP="00895231">
            <w:pPr>
              <w:jc w:val="center"/>
              <w:rPr>
                <w:sz w:val="22"/>
                <w:szCs w:val="22"/>
                <w:lang w:val="en-US"/>
              </w:rPr>
            </w:pPr>
          </w:p>
        </w:tc>
        <w:tc>
          <w:tcPr>
            <w:tcW w:w="749" w:type="dxa"/>
            <w:vMerge/>
          </w:tcPr>
          <w:p w:rsidR="008270A0" w:rsidRPr="00161C1B" w:rsidRDefault="008270A0" w:rsidP="00895231">
            <w:pPr>
              <w:jc w:val="center"/>
              <w:rPr>
                <w:sz w:val="22"/>
                <w:szCs w:val="22"/>
                <w:lang w:val="en-US"/>
              </w:rPr>
            </w:pPr>
          </w:p>
        </w:tc>
        <w:tc>
          <w:tcPr>
            <w:tcW w:w="993" w:type="dxa"/>
            <w:vMerge/>
          </w:tcPr>
          <w:p w:rsidR="008270A0" w:rsidRPr="00161C1B" w:rsidRDefault="008270A0" w:rsidP="00895231">
            <w:pPr>
              <w:jc w:val="center"/>
              <w:rPr>
                <w:sz w:val="22"/>
                <w:szCs w:val="22"/>
                <w:lang w:val="en-US"/>
              </w:rPr>
            </w:pPr>
          </w:p>
        </w:tc>
        <w:tc>
          <w:tcPr>
            <w:tcW w:w="815" w:type="dxa"/>
            <w:vMerge/>
          </w:tcPr>
          <w:p w:rsidR="008270A0" w:rsidRPr="00161C1B" w:rsidRDefault="008270A0" w:rsidP="00895231">
            <w:pPr>
              <w:jc w:val="center"/>
              <w:rPr>
                <w:sz w:val="22"/>
                <w:szCs w:val="22"/>
                <w:lang w:val="en-US"/>
              </w:rPr>
            </w:pPr>
          </w:p>
        </w:tc>
      </w:tr>
    </w:tbl>
    <w:p w:rsidR="008270A0" w:rsidRPr="00161C1B" w:rsidRDefault="008270A0" w:rsidP="008270A0">
      <w:pPr>
        <w:spacing w:after="0" w:line="240" w:lineRule="auto"/>
        <w:rPr>
          <w:rFonts w:ascii="Times New Roman" w:hAnsi="Times New Roman" w:cs="Times New Roman"/>
          <w:lang w:val="en-US"/>
        </w:rPr>
      </w:pPr>
      <w:r w:rsidRPr="00161C1B">
        <w:rPr>
          <w:rFonts w:ascii="Times New Roman" w:hAnsi="Times New Roman" w:cs="Times New Roman"/>
          <w:i/>
          <w:lang w:val="en-US"/>
        </w:rPr>
        <w:t>Sources</w:t>
      </w:r>
      <w:r w:rsidRPr="00161C1B">
        <w:rPr>
          <w:rFonts w:ascii="Times New Roman" w:hAnsi="Times New Roman" w:cs="Times New Roman"/>
          <w:lang w:val="en-US"/>
        </w:rPr>
        <w:t>: Own calculations.</w:t>
      </w:r>
    </w:p>
    <w:p w:rsidR="00EA2DE1" w:rsidRDefault="00EA2DE1" w:rsidP="00EA2DE1">
      <w:pPr>
        <w:pStyle w:val="PlainText"/>
        <w:spacing w:line="360" w:lineRule="auto"/>
        <w:rPr>
          <w:rFonts w:ascii="Times New Roman" w:hAnsi="Times New Roman" w:cs="Times New Roman"/>
          <w:sz w:val="24"/>
          <w:szCs w:val="24"/>
          <w:lang w:val="en-US"/>
        </w:rPr>
      </w:pPr>
    </w:p>
    <w:p w:rsidR="00EA2DE1" w:rsidRPr="00EA2DE1" w:rsidRDefault="00EA2DE1" w:rsidP="00EA2DE1">
      <w:pPr>
        <w:pStyle w:val="PlainText"/>
        <w:spacing w:line="360" w:lineRule="auto"/>
        <w:rPr>
          <w:rFonts w:ascii="Times New Roman" w:hAnsi="Times New Roman" w:cs="Times New Roman"/>
          <w:sz w:val="24"/>
          <w:szCs w:val="24"/>
          <w:lang w:val="en-US"/>
        </w:rPr>
      </w:pPr>
      <w:proofErr w:type="gramStart"/>
      <w:r w:rsidRPr="00EA2DE1">
        <w:rPr>
          <w:rFonts w:ascii="Times New Roman" w:hAnsi="Times New Roman" w:cs="Times New Roman"/>
          <w:sz w:val="24"/>
          <w:szCs w:val="24"/>
          <w:lang w:val="en-US"/>
        </w:rPr>
        <w:t>While the prohibition of RP did not really have an impact in the party system either at the electoral or the legislative level</w:t>
      </w:r>
      <w:r w:rsidR="00A8615A">
        <w:rPr>
          <w:rFonts w:ascii="Times New Roman" w:hAnsi="Times New Roman" w:cs="Times New Roman"/>
          <w:sz w:val="24"/>
          <w:szCs w:val="24"/>
          <w:lang w:val="en-US"/>
        </w:rPr>
        <w:t xml:space="preserve"> because </w:t>
      </w:r>
      <w:r w:rsidRPr="00EA2DE1">
        <w:rPr>
          <w:rFonts w:ascii="Times New Roman" w:hAnsi="Times New Roman" w:cs="Times New Roman"/>
          <w:sz w:val="24"/>
          <w:szCs w:val="24"/>
          <w:lang w:val="en-US"/>
        </w:rPr>
        <w:t>its supporters had an almost identical political organization to vote for (i.e. FP)</w:t>
      </w:r>
      <w:r w:rsidR="00A8615A">
        <w:rPr>
          <w:rFonts w:ascii="Times New Roman" w:hAnsi="Times New Roman" w:cs="Times New Roman"/>
          <w:sz w:val="24"/>
          <w:szCs w:val="24"/>
          <w:lang w:val="en-US"/>
        </w:rPr>
        <w:t>.</w:t>
      </w:r>
      <w:proofErr w:type="gramEnd"/>
      <w:r w:rsidR="00A8615A">
        <w:rPr>
          <w:rFonts w:ascii="Times New Roman" w:hAnsi="Times New Roman" w:cs="Times New Roman"/>
          <w:sz w:val="24"/>
          <w:szCs w:val="24"/>
          <w:lang w:val="en-US"/>
        </w:rPr>
        <w:t xml:space="preserve"> Nevertheless</w:t>
      </w:r>
      <w:r w:rsidRPr="00EA2DE1">
        <w:rPr>
          <w:rFonts w:ascii="Times New Roman" w:hAnsi="Times New Roman" w:cs="Times New Roman"/>
          <w:sz w:val="24"/>
          <w:szCs w:val="24"/>
          <w:lang w:val="en-US"/>
        </w:rPr>
        <w:t>, the banning of RP may have confused some voters</w:t>
      </w:r>
      <w:r w:rsidR="00A8615A">
        <w:rPr>
          <w:rFonts w:ascii="Times New Roman" w:hAnsi="Times New Roman" w:cs="Times New Roman"/>
          <w:sz w:val="24"/>
          <w:szCs w:val="24"/>
          <w:lang w:val="en-US"/>
        </w:rPr>
        <w:t>,</w:t>
      </w:r>
      <w:r w:rsidR="006A7B9F">
        <w:rPr>
          <w:rFonts w:ascii="Times New Roman" w:hAnsi="Times New Roman" w:cs="Times New Roman"/>
          <w:sz w:val="24"/>
          <w:szCs w:val="24"/>
          <w:lang w:val="en-US"/>
        </w:rPr>
        <w:t xml:space="preserve"> </w:t>
      </w:r>
      <w:r w:rsidRPr="00EA2DE1">
        <w:rPr>
          <w:rFonts w:ascii="Times New Roman" w:hAnsi="Times New Roman" w:cs="Times New Roman"/>
          <w:sz w:val="24"/>
          <w:szCs w:val="24"/>
          <w:lang w:val="en-US"/>
        </w:rPr>
        <w:t>there</w:t>
      </w:r>
      <w:r w:rsidR="00A8615A">
        <w:rPr>
          <w:rFonts w:ascii="Times New Roman" w:hAnsi="Times New Roman" w:cs="Times New Roman"/>
          <w:sz w:val="24"/>
          <w:szCs w:val="24"/>
          <w:lang w:val="en-US"/>
        </w:rPr>
        <w:t xml:space="preserve">by </w:t>
      </w:r>
      <w:r w:rsidRPr="00EA2DE1">
        <w:rPr>
          <w:rFonts w:ascii="Times New Roman" w:hAnsi="Times New Roman" w:cs="Times New Roman"/>
          <w:sz w:val="24"/>
          <w:szCs w:val="24"/>
          <w:lang w:val="en-US"/>
        </w:rPr>
        <w:t>increas</w:t>
      </w:r>
      <w:r w:rsidR="00A8615A">
        <w:rPr>
          <w:rFonts w:ascii="Times New Roman" w:hAnsi="Times New Roman" w:cs="Times New Roman"/>
          <w:sz w:val="24"/>
          <w:szCs w:val="24"/>
          <w:lang w:val="en-US"/>
        </w:rPr>
        <w:t>ing</w:t>
      </w:r>
      <w:r w:rsidRPr="00EA2DE1">
        <w:rPr>
          <w:rFonts w:ascii="Times New Roman" w:hAnsi="Times New Roman" w:cs="Times New Roman"/>
          <w:sz w:val="24"/>
          <w:szCs w:val="24"/>
          <w:lang w:val="en-US"/>
        </w:rPr>
        <w:t xml:space="preserve"> the percentage of spoiled ballots,</w:t>
      </w:r>
      <w:r w:rsidR="00A8615A">
        <w:rPr>
          <w:rFonts w:ascii="Times New Roman" w:hAnsi="Times New Roman" w:cs="Times New Roman"/>
          <w:sz w:val="24"/>
          <w:szCs w:val="24"/>
          <w:lang w:val="en-US"/>
        </w:rPr>
        <w:t xml:space="preserve"> and </w:t>
      </w:r>
      <w:r w:rsidRPr="00EA2DE1">
        <w:rPr>
          <w:rFonts w:ascii="Times New Roman" w:hAnsi="Times New Roman" w:cs="Times New Roman"/>
          <w:sz w:val="24"/>
          <w:szCs w:val="24"/>
          <w:lang w:val="en-US"/>
        </w:rPr>
        <w:t xml:space="preserve">certainly altered the structure of inter-party competition </w:t>
      </w:r>
      <w:r w:rsidR="00A8615A">
        <w:rPr>
          <w:rFonts w:ascii="Times New Roman" w:hAnsi="Times New Roman" w:cs="Times New Roman"/>
          <w:sz w:val="24"/>
          <w:szCs w:val="24"/>
          <w:lang w:val="en-US"/>
        </w:rPr>
        <w:t xml:space="preserve">by </w:t>
      </w:r>
      <w:r w:rsidRPr="00EA2DE1">
        <w:rPr>
          <w:rFonts w:ascii="Times New Roman" w:hAnsi="Times New Roman" w:cs="Times New Roman"/>
          <w:sz w:val="24"/>
          <w:szCs w:val="24"/>
          <w:lang w:val="en-US"/>
        </w:rPr>
        <w:t xml:space="preserve">impeding its access to executive office: the FP was seen as a “pariah” by the other parties represented in the National Assembly. As a result, a new coalition government </w:t>
      </w:r>
      <w:r w:rsidR="00A8615A">
        <w:rPr>
          <w:rFonts w:ascii="Times New Roman" w:hAnsi="Times New Roman" w:cs="Times New Roman"/>
          <w:sz w:val="24"/>
          <w:szCs w:val="24"/>
          <w:lang w:val="en-US"/>
        </w:rPr>
        <w:t xml:space="preserve">was formed </w:t>
      </w:r>
      <w:r w:rsidRPr="00EA2DE1">
        <w:rPr>
          <w:rFonts w:ascii="Times New Roman" w:hAnsi="Times New Roman" w:cs="Times New Roman"/>
          <w:sz w:val="24"/>
          <w:szCs w:val="24"/>
          <w:lang w:val="en-US"/>
        </w:rPr>
        <w:t xml:space="preserve">between the DSP, the most popular party at the time (1999), the Motherland Party (ANAP) and the Nationalist Movement Party (MHP), in parliament for the first time. The outcome was both partial alternation and open access, something that had never happened before, at least not immediately after elections (table 5). </w:t>
      </w:r>
    </w:p>
    <w:p w:rsidR="00EA2DE1" w:rsidRDefault="00EA2DE1" w:rsidP="00EA2DE1">
      <w:pPr>
        <w:pStyle w:val="PlainText"/>
        <w:spacing w:line="360" w:lineRule="auto"/>
        <w:rPr>
          <w:rFonts w:ascii="Times New Roman" w:hAnsi="Times New Roman" w:cs="Times New Roman"/>
          <w:sz w:val="24"/>
          <w:szCs w:val="24"/>
          <w:lang w:val="en-US"/>
        </w:rPr>
      </w:pPr>
    </w:p>
    <w:p w:rsidR="00EA2DE1" w:rsidRPr="00EA2DE1" w:rsidRDefault="00A8615A" w:rsidP="00EA2DE1">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EA2DE1" w:rsidRPr="00EA2DE1">
        <w:rPr>
          <w:rFonts w:ascii="Times New Roman" w:hAnsi="Times New Roman" w:cs="Times New Roman"/>
          <w:sz w:val="24"/>
          <w:szCs w:val="24"/>
          <w:lang w:val="en-US"/>
        </w:rPr>
        <w:t xml:space="preserve">he banning of FP in 2001 </w:t>
      </w:r>
      <w:r>
        <w:rPr>
          <w:rFonts w:ascii="Times New Roman" w:hAnsi="Times New Roman" w:cs="Times New Roman"/>
          <w:sz w:val="24"/>
          <w:szCs w:val="24"/>
          <w:lang w:val="en-US"/>
        </w:rPr>
        <w:t xml:space="preserve">had </w:t>
      </w:r>
      <w:r w:rsidR="00EA2DE1" w:rsidRPr="00EA2DE1">
        <w:rPr>
          <w:rFonts w:ascii="Times New Roman" w:hAnsi="Times New Roman" w:cs="Times New Roman"/>
          <w:sz w:val="24"/>
          <w:szCs w:val="24"/>
          <w:lang w:val="en-US"/>
        </w:rPr>
        <w:t>a major impact in the party system at all levels, producing the perfect example of “systemic change”: (1) electoral instability almost doubled</w:t>
      </w:r>
      <w:proofErr w:type="gramStart"/>
      <w:r w:rsidR="00EA2DE1" w:rsidRPr="00EA2DE1">
        <w:rPr>
          <w:rFonts w:ascii="Times New Roman" w:hAnsi="Times New Roman" w:cs="Times New Roman"/>
          <w:sz w:val="24"/>
          <w:szCs w:val="24"/>
          <w:lang w:val="en-US"/>
        </w:rPr>
        <w:t>,  (</w:t>
      </w:r>
      <w:proofErr w:type="gramEnd"/>
      <w:r w:rsidR="00EA2DE1" w:rsidRPr="00EA2DE1">
        <w:rPr>
          <w:rFonts w:ascii="Times New Roman" w:hAnsi="Times New Roman" w:cs="Times New Roman"/>
          <w:sz w:val="24"/>
          <w:szCs w:val="24"/>
          <w:lang w:val="en-US"/>
        </w:rPr>
        <w:t xml:space="preserve">2) the extremely pluralized party system not only became more concentrated but initiated a period of hegemony that lasts until today, and last but not least (3) it introduced a new pattern of partisan interaction characterized by wholesale alternation, familiar formula and closed access. In principle more moderate that its immediate “predecessors”, AKP managed to attract some of the </w:t>
      </w:r>
      <w:proofErr w:type="spellStart"/>
      <w:r w:rsidR="00EA2DE1" w:rsidRPr="00EA2DE1">
        <w:rPr>
          <w:rFonts w:ascii="Times New Roman" w:hAnsi="Times New Roman" w:cs="Times New Roman"/>
          <w:sz w:val="24"/>
          <w:szCs w:val="24"/>
          <w:lang w:val="en-US"/>
        </w:rPr>
        <w:t>centre</w:t>
      </w:r>
      <w:proofErr w:type="spellEnd"/>
      <w:r w:rsidR="00EA2DE1" w:rsidRPr="00EA2DE1">
        <w:rPr>
          <w:rFonts w:ascii="Times New Roman" w:hAnsi="Times New Roman" w:cs="Times New Roman"/>
          <w:sz w:val="24"/>
          <w:szCs w:val="24"/>
          <w:lang w:val="en-US"/>
        </w:rPr>
        <w:t xml:space="preserve">-right vote (mainly from ANAP and DYP). Moreover, the organizational split of FP supporters into two different political alternatives (AKP and </w:t>
      </w:r>
      <w:proofErr w:type="spellStart"/>
      <w:r w:rsidR="00EA2DE1" w:rsidRPr="00EA2DE1">
        <w:rPr>
          <w:rFonts w:ascii="Times New Roman" w:hAnsi="Times New Roman" w:cs="Times New Roman"/>
          <w:sz w:val="24"/>
          <w:szCs w:val="24"/>
          <w:lang w:val="en-US"/>
        </w:rPr>
        <w:t>SaP</w:t>
      </w:r>
      <w:proofErr w:type="spellEnd"/>
      <w:r w:rsidR="00EA2DE1" w:rsidRPr="00EA2DE1">
        <w:rPr>
          <w:rFonts w:ascii="Times New Roman" w:hAnsi="Times New Roman" w:cs="Times New Roman"/>
          <w:sz w:val="24"/>
          <w:szCs w:val="24"/>
          <w:lang w:val="en-US"/>
        </w:rPr>
        <w:t>) increased their choice, consequently reducing the number of spoiled ballots.</w:t>
      </w:r>
    </w:p>
    <w:p w:rsidR="00EA2DE1" w:rsidRDefault="00EA2DE1" w:rsidP="00EA2DE1">
      <w:pPr>
        <w:pStyle w:val="PlainText"/>
        <w:spacing w:line="360" w:lineRule="auto"/>
        <w:rPr>
          <w:rFonts w:ascii="Times New Roman" w:hAnsi="Times New Roman" w:cs="Times New Roman"/>
          <w:sz w:val="24"/>
          <w:szCs w:val="24"/>
          <w:lang w:val="en-US"/>
        </w:rPr>
      </w:pPr>
    </w:p>
    <w:p w:rsidR="00EA2DE1" w:rsidRPr="00EA2DE1" w:rsidRDefault="00EA2DE1" w:rsidP="00EA2DE1">
      <w:pPr>
        <w:pStyle w:val="PlainText"/>
        <w:spacing w:line="360" w:lineRule="auto"/>
        <w:rPr>
          <w:rFonts w:ascii="Times New Roman" w:hAnsi="Times New Roman" w:cs="Times New Roman"/>
          <w:sz w:val="24"/>
          <w:szCs w:val="24"/>
          <w:lang w:val="en-US"/>
        </w:rPr>
      </w:pPr>
      <w:r w:rsidRPr="00EA2DE1">
        <w:rPr>
          <w:rFonts w:ascii="Times New Roman" w:hAnsi="Times New Roman" w:cs="Times New Roman"/>
          <w:sz w:val="24"/>
          <w:szCs w:val="24"/>
          <w:lang w:val="en-US"/>
        </w:rPr>
        <w:t xml:space="preserve">However, the </w:t>
      </w:r>
      <w:r w:rsidR="00A8615A">
        <w:rPr>
          <w:rFonts w:ascii="Times New Roman" w:hAnsi="Times New Roman" w:cs="Times New Roman"/>
          <w:sz w:val="24"/>
          <w:szCs w:val="24"/>
          <w:lang w:val="en-US"/>
        </w:rPr>
        <w:t xml:space="preserve">failure of efforts to ban the </w:t>
      </w:r>
      <w:r w:rsidRPr="00EA2DE1">
        <w:rPr>
          <w:rFonts w:ascii="Times New Roman" w:hAnsi="Times New Roman" w:cs="Times New Roman"/>
          <w:sz w:val="24"/>
          <w:szCs w:val="24"/>
          <w:lang w:val="en-US"/>
        </w:rPr>
        <w:t xml:space="preserve">AKP, considered by some (mainly outside Turkey) a fundamentalist party and the direct heir of FP, had a long-lasting effect in the Turkish party system by reducing the number of “relevant” parties to three (AKP, CHP and MHP) and increasing its level of institutionalization (Casal </w:t>
      </w:r>
      <w:proofErr w:type="spellStart"/>
      <w:r w:rsidRPr="00EA2DE1">
        <w:rPr>
          <w:rFonts w:ascii="Times New Roman" w:hAnsi="Times New Roman" w:cs="Times New Roman"/>
          <w:sz w:val="24"/>
          <w:szCs w:val="24"/>
          <w:lang w:val="en-US"/>
        </w:rPr>
        <w:t>Bértoa</w:t>
      </w:r>
      <w:proofErr w:type="spellEnd"/>
      <w:r w:rsidRPr="00EA2DE1">
        <w:rPr>
          <w:rFonts w:ascii="Times New Roman" w:hAnsi="Times New Roman" w:cs="Times New Roman"/>
          <w:sz w:val="24"/>
          <w:szCs w:val="24"/>
          <w:lang w:val="en-US"/>
        </w:rPr>
        <w:t>, forthcoming).</w:t>
      </w:r>
    </w:p>
    <w:p w:rsidR="00EA2DE1" w:rsidRDefault="00EA2DE1" w:rsidP="00EA2DE1">
      <w:pPr>
        <w:pStyle w:val="PlainText"/>
        <w:spacing w:line="360" w:lineRule="auto"/>
        <w:rPr>
          <w:rFonts w:ascii="Times New Roman" w:hAnsi="Times New Roman" w:cs="Times New Roman"/>
          <w:sz w:val="24"/>
          <w:szCs w:val="24"/>
          <w:lang w:val="en-US"/>
        </w:rPr>
      </w:pPr>
    </w:p>
    <w:p w:rsidR="00EA2DE1" w:rsidRDefault="00EA2DE1" w:rsidP="00EA2DE1">
      <w:pPr>
        <w:pStyle w:val="PlainText"/>
        <w:spacing w:line="360" w:lineRule="auto"/>
        <w:rPr>
          <w:rFonts w:ascii="Times New Roman" w:hAnsi="Times New Roman" w:cs="Times New Roman"/>
          <w:sz w:val="24"/>
          <w:szCs w:val="24"/>
          <w:lang w:val="en-US"/>
        </w:rPr>
      </w:pPr>
      <w:r w:rsidRPr="00EA2DE1">
        <w:rPr>
          <w:rFonts w:ascii="Times New Roman" w:hAnsi="Times New Roman" w:cs="Times New Roman"/>
          <w:sz w:val="24"/>
          <w:szCs w:val="24"/>
          <w:lang w:val="en-US"/>
        </w:rPr>
        <w:t>Contrarily to religious parties, Kurdish parties in Turkey have not been so successful. Consequently, their impact on the development of the Turkish party system has been minimal. Thus, and contrary to what has been observed in the case of FP, the banning of HADEP before the 2002 had no impact whatsoever due to foundation of DEHAP. Interestingly enough, the prohibition of DTP, fruit of the merger between DEHAP and DHP in 2005, did definitively reduce the number of electoral parties, on top of contributing to maint</w:t>
      </w:r>
      <w:bookmarkStart w:id="0" w:name="_GoBack"/>
      <w:bookmarkEnd w:id="0"/>
      <w:r w:rsidRPr="00EA2DE1">
        <w:rPr>
          <w:rFonts w:ascii="Times New Roman" w:hAnsi="Times New Roman" w:cs="Times New Roman"/>
          <w:sz w:val="24"/>
          <w:szCs w:val="24"/>
          <w:lang w:val="en-US"/>
        </w:rPr>
        <w:t>ain</w:t>
      </w:r>
      <w:r w:rsidR="00A8615A">
        <w:rPr>
          <w:rFonts w:ascii="Times New Roman" w:hAnsi="Times New Roman" w:cs="Times New Roman"/>
          <w:sz w:val="24"/>
          <w:szCs w:val="24"/>
          <w:lang w:val="en-US"/>
        </w:rPr>
        <w:t>ing</w:t>
      </w:r>
      <w:r w:rsidRPr="00EA2DE1">
        <w:rPr>
          <w:rFonts w:ascii="Times New Roman" w:hAnsi="Times New Roman" w:cs="Times New Roman"/>
          <w:sz w:val="24"/>
          <w:szCs w:val="24"/>
          <w:lang w:val="en-US"/>
        </w:rPr>
        <w:t xml:space="preserve"> the level of volatility over 20 percent. Due to its total extra-parliamentary character, it did not manage, however, to exert any influence in terms of the structure of legislative and governmental competition. This certainly confirms our theoretical expectations that in the “ocean” of party system change, only “big fishes” make a difference.</w:t>
      </w:r>
    </w:p>
    <w:p w:rsidR="0094195E" w:rsidRDefault="0094195E" w:rsidP="00EA2DE1">
      <w:pPr>
        <w:pStyle w:val="PlainText"/>
        <w:spacing w:line="360" w:lineRule="auto"/>
        <w:rPr>
          <w:rFonts w:ascii="Times New Roman" w:hAnsi="Times New Roman" w:cs="Times New Roman"/>
          <w:sz w:val="24"/>
          <w:szCs w:val="24"/>
          <w:lang w:val="en-US"/>
        </w:rPr>
      </w:pPr>
    </w:p>
    <w:p w:rsidR="0094195E" w:rsidRPr="0094195E" w:rsidRDefault="0094195E" w:rsidP="0094195E">
      <w:pPr>
        <w:pStyle w:val="PlainText"/>
        <w:spacing w:line="360" w:lineRule="auto"/>
        <w:jc w:val="center"/>
        <w:rPr>
          <w:rFonts w:ascii="Times New Roman" w:hAnsi="Times New Roman" w:cs="Times New Roman"/>
          <w:b/>
          <w:sz w:val="24"/>
          <w:szCs w:val="24"/>
          <w:lang w:val="en-US"/>
        </w:rPr>
      </w:pPr>
      <w:r w:rsidRPr="0094195E">
        <w:rPr>
          <w:rFonts w:ascii="Times New Roman" w:hAnsi="Times New Roman" w:cs="Times New Roman"/>
          <w:b/>
          <w:sz w:val="24"/>
          <w:szCs w:val="24"/>
          <w:lang w:val="en-US"/>
        </w:rPr>
        <w:t>Conclusions</w:t>
      </w:r>
    </w:p>
    <w:p w:rsidR="007F132A" w:rsidRDefault="0094195E" w:rsidP="00D728D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paper, we examine the effects of banning parties – a grave act with significant consequences for democratic politics in both theory and practice – on party systems. We examine party ban effects in three ‘intolerant activist’ party regimes (Germany, Spain and Turkey), which are legal systems which actively employ legal or constitutional provisions </w:t>
      </w:r>
      <w:r w:rsidR="00847FB9">
        <w:rPr>
          <w:rFonts w:ascii="Times New Roman" w:hAnsi="Times New Roman" w:cs="Times New Roman"/>
          <w:sz w:val="24"/>
          <w:szCs w:val="24"/>
          <w:lang w:val="en-US"/>
        </w:rPr>
        <w:t xml:space="preserve">against parties </w:t>
      </w:r>
      <w:r>
        <w:rPr>
          <w:rFonts w:ascii="Times New Roman" w:hAnsi="Times New Roman" w:cs="Times New Roman"/>
          <w:sz w:val="24"/>
          <w:szCs w:val="24"/>
          <w:lang w:val="en-US"/>
        </w:rPr>
        <w:t xml:space="preserve">for either anti-system behavior </w:t>
      </w:r>
      <w:r w:rsidR="002F77FB">
        <w:rPr>
          <w:rFonts w:ascii="Times New Roman" w:hAnsi="Times New Roman" w:cs="Times New Roman"/>
          <w:sz w:val="24"/>
          <w:szCs w:val="24"/>
          <w:lang w:val="en-US"/>
        </w:rPr>
        <w:t xml:space="preserve">(Spain) </w:t>
      </w:r>
      <w:r>
        <w:rPr>
          <w:rFonts w:ascii="Times New Roman" w:hAnsi="Times New Roman" w:cs="Times New Roman"/>
          <w:sz w:val="24"/>
          <w:szCs w:val="24"/>
          <w:lang w:val="en-US"/>
        </w:rPr>
        <w:t xml:space="preserve">or </w:t>
      </w:r>
      <w:r w:rsidR="002F77FB">
        <w:rPr>
          <w:rFonts w:ascii="Times New Roman" w:hAnsi="Times New Roman" w:cs="Times New Roman"/>
          <w:sz w:val="24"/>
          <w:szCs w:val="24"/>
          <w:lang w:val="en-US"/>
        </w:rPr>
        <w:t>anti-system ideology (Germany) or both (Turkey).</w:t>
      </w:r>
      <w:r>
        <w:rPr>
          <w:rFonts w:ascii="Times New Roman" w:hAnsi="Times New Roman" w:cs="Times New Roman"/>
          <w:sz w:val="24"/>
          <w:szCs w:val="24"/>
          <w:lang w:val="en-US"/>
        </w:rPr>
        <w:t xml:space="preserve"> These were also cases which included bans on salient parties, the type of party whose proscription we expected to </w:t>
      </w:r>
      <w:r>
        <w:rPr>
          <w:rFonts w:ascii="Times New Roman" w:hAnsi="Times New Roman" w:cs="Times New Roman"/>
          <w:sz w:val="24"/>
          <w:szCs w:val="24"/>
          <w:lang w:val="en-US"/>
        </w:rPr>
        <w:lastRenderedPageBreak/>
        <w:t xml:space="preserve">have the most significant impact on the party system. Indeed, as table 8 shows, in all countries where relevant parties were banned various different types of party system effects were observed. </w:t>
      </w:r>
    </w:p>
    <w:p w:rsidR="00847FB9" w:rsidRDefault="00847FB9" w:rsidP="00C6358D">
      <w:pPr>
        <w:spacing w:after="0" w:line="360" w:lineRule="auto"/>
        <w:jc w:val="center"/>
        <w:rPr>
          <w:rFonts w:ascii="Times New Roman" w:hAnsi="Times New Roman" w:cs="Times New Roman"/>
          <w:b/>
          <w:sz w:val="24"/>
          <w:szCs w:val="24"/>
          <w:lang w:val="en-US"/>
        </w:rPr>
      </w:pPr>
    </w:p>
    <w:p w:rsidR="00C6358D" w:rsidRPr="00847FB9" w:rsidRDefault="00C6358D" w:rsidP="00C6358D">
      <w:pPr>
        <w:spacing w:after="0" w:line="360" w:lineRule="auto"/>
        <w:jc w:val="center"/>
        <w:rPr>
          <w:rFonts w:ascii="Times New Roman" w:hAnsi="Times New Roman" w:cs="Times New Roman"/>
          <w:b/>
          <w:sz w:val="24"/>
          <w:szCs w:val="24"/>
          <w:lang w:val="en-US"/>
        </w:rPr>
      </w:pPr>
      <w:r w:rsidRPr="00847FB9">
        <w:rPr>
          <w:rFonts w:ascii="Times New Roman" w:hAnsi="Times New Roman" w:cs="Times New Roman"/>
          <w:b/>
          <w:sz w:val="24"/>
          <w:szCs w:val="24"/>
          <w:lang w:val="en-US"/>
        </w:rPr>
        <w:t>Table 8 summary of empirical findings</w:t>
      </w:r>
    </w:p>
    <w:tbl>
      <w:tblPr>
        <w:tblStyle w:val="TableGrid"/>
        <w:tblW w:w="0" w:type="auto"/>
        <w:tblLook w:val="04A0" w:firstRow="1" w:lastRow="0" w:firstColumn="1" w:lastColumn="0" w:noHBand="0" w:noVBand="1"/>
      </w:tblPr>
      <w:tblGrid>
        <w:gridCol w:w="4077"/>
        <w:gridCol w:w="2127"/>
        <w:gridCol w:w="1677"/>
        <w:gridCol w:w="1973"/>
      </w:tblGrid>
      <w:tr w:rsidR="00C6358D" w:rsidRPr="00847FB9" w:rsidTr="007F132A">
        <w:tc>
          <w:tcPr>
            <w:tcW w:w="4077" w:type="dxa"/>
          </w:tcPr>
          <w:p w:rsidR="007F132A" w:rsidRDefault="007F132A" w:rsidP="00847FB9">
            <w:pPr>
              <w:rPr>
                <w:b/>
                <w:lang w:val="en-US"/>
              </w:rPr>
            </w:pPr>
            <w:r w:rsidRPr="00847FB9">
              <w:rPr>
                <w:b/>
                <w:lang w:val="en-US"/>
              </w:rPr>
              <w:t>Hypothesis</w:t>
            </w:r>
          </w:p>
          <w:p w:rsidR="00847FB9" w:rsidRPr="00847FB9" w:rsidRDefault="00847FB9" w:rsidP="00847FB9">
            <w:pPr>
              <w:rPr>
                <w:b/>
                <w:lang w:val="en-US"/>
              </w:rPr>
            </w:pPr>
          </w:p>
        </w:tc>
        <w:tc>
          <w:tcPr>
            <w:tcW w:w="2127" w:type="dxa"/>
          </w:tcPr>
          <w:p w:rsidR="007F132A" w:rsidRPr="00847FB9" w:rsidRDefault="007F132A" w:rsidP="00847FB9">
            <w:pPr>
              <w:rPr>
                <w:lang w:val="en-US"/>
              </w:rPr>
            </w:pPr>
            <w:r w:rsidRPr="00847FB9">
              <w:rPr>
                <w:lang w:val="en-US"/>
              </w:rPr>
              <w:t>GERMANY</w:t>
            </w:r>
          </w:p>
        </w:tc>
        <w:tc>
          <w:tcPr>
            <w:tcW w:w="1677" w:type="dxa"/>
          </w:tcPr>
          <w:p w:rsidR="007F132A" w:rsidRPr="00847FB9" w:rsidRDefault="007F132A" w:rsidP="00847FB9">
            <w:pPr>
              <w:rPr>
                <w:lang w:val="en-US"/>
              </w:rPr>
            </w:pPr>
            <w:r w:rsidRPr="00847FB9">
              <w:rPr>
                <w:lang w:val="en-US"/>
              </w:rPr>
              <w:t>SPAIN</w:t>
            </w:r>
          </w:p>
        </w:tc>
        <w:tc>
          <w:tcPr>
            <w:tcW w:w="1973" w:type="dxa"/>
          </w:tcPr>
          <w:p w:rsidR="007F132A" w:rsidRPr="00847FB9" w:rsidRDefault="007F132A" w:rsidP="00847FB9">
            <w:pPr>
              <w:rPr>
                <w:lang w:val="en-US"/>
              </w:rPr>
            </w:pPr>
            <w:r w:rsidRPr="00847FB9">
              <w:rPr>
                <w:lang w:val="en-US"/>
              </w:rPr>
              <w:t>TURKEY</w:t>
            </w:r>
          </w:p>
        </w:tc>
      </w:tr>
      <w:tr w:rsidR="00C6358D" w:rsidRPr="00847FB9" w:rsidTr="007F132A">
        <w:tc>
          <w:tcPr>
            <w:tcW w:w="4077" w:type="dxa"/>
          </w:tcPr>
          <w:p w:rsidR="007F132A" w:rsidRPr="00847FB9" w:rsidRDefault="007F132A" w:rsidP="00847FB9">
            <w:pPr>
              <w:rPr>
                <w:lang w:val="en-US"/>
              </w:rPr>
            </w:pPr>
            <w:r w:rsidRPr="00847FB9">
              <w:rPr>
                <w:b/>
                <w:lang w:val="en-US"/>
              </w:rPr>
              <w:t xml:space="preserve">Party ban or </w:t>
            </w:r>
            <w:proofErr w:type="spellStart"/>
            <w:r w:rsidRPr="00847FB9">
              <w:rPr>
                <w:b/>
                <w:lang w:val="en-US"/>
              </w:rPr>
              <w:t>legalisation</w:t>
            </w:r>
            <w:proofErr w:type="spellEnd"/>
            <w:r w:rsidRPr="00847FB9">
              <w:rPr>
                <w:b/>
                <w:lang w:val="en-US"/>
              </w:rPr>
              <w:t xml:space="preserve"> increases electoral volatility</w:t>
            </w:r>
          </w:p>
        </w:tc>
        <w:tc>
          <w:tcPr>
            <w:tcW w:w="2127" w:type="dxa"/>
          </w:tcPr>
          <w:p w:rsidR="007F132A" w:rsidRPr="00847FB9" w:rsidRDefault="007F132A" w:rsidP="00847FB9">
            <w:pPr>
              <w:jc w:val="left"/>
              <w:rPr>
                <w:sz w:val="20"/>
                <w:szCs w:val="20"/>
                <w:lang w:val="en-US"/>
              </w:rPr>
            </w:pPr>
            <w:r w:rsidRPr="00847FB9">
              <w:rPr>
                <w:sz w:val="20"/>
                <w:szCs w:val="20"/>
                <w:lang w:val="en-US"/>
              </w:rPr>
              <w:t>KPD Yes (</w:t>
            </w:r>
            <w:proofErr w:type="spellStart"/>
            <w:r w:rsidRPr="00847FB9">
              <w:rPr>
                <w:sz w:val="20"/>
                <w:szCs w:val="20"/>
                <w:lang w:val="en-US"/>
              </w:rPr>
              <w:t>minimual</w:t>
            </w:r>
            <w:proofErr w:type="spellEnd"/>
            <w:r w:rsidRPr="00847FB9">
              <w:rPr>
                <w:sz w:val="20"/>
                <w:szCs w:val="20"/>
                <w:lang w:val="en-US"/>
              </w:rPr>
              <w:t>)</w:t>
            </w:r>
          </w:p>
          <w:p w:rsidR="007F132A" w:rsidRPr="00847FB9" w:rsidRDefault="00C6358D" w:rsidP="00847FB9">
            <w:pPr>
              <w:jc w:val="left"/>
              <w:rPr>
                <w:sz w:val="20"/>
                <w:szCs w:val="20"/>
                <w:lang w:val="en-US"/>
              </w:rPr>
            </w:pPr>
            <w:r w:rsidRPr="00847FB9">
              <w:rPr>
                <w:sz w:val="20"/>
                <w:szCs w:val="20"/>
                <w:lang w:val="en-US"/>
              </w:rPr>
              <w:t>SRP Yes</w:t>
            </w:r>
          </w:p>
          <w:p w:rsidR="00C6358D" w:rsidRPr="00847FB9" w:rsidRDefault="00C6358D" w:rsidP="00847FB9">
            <w:pPr>
              <w:jc w:val="left"/>
              <w:rPr>
                <w:sz w:val="20"/>
                <w:szCs w:val="20"/>
                <w:lang w:val="en-US"/>
              </w:rPr>
            </w:pPr>
            <w:r w:rsidRPr="00847FB9">
              <w:rPr>
                <w:sz w:val="20"/>
                <w:szCs w:val="20"/>
                <w:lang w:val="en-US"/>
              </w:rPr>
              <w:t>NPD Yes (failed ban)</w:t>
            </w:r>
          </w:p>
        </w:tc>
        <w:tc>
          <w:tcPr>
            <w:tcW w:w="1677" w:type="dxa"/>
          </w:tcPr>
          <w:p w:rsidR="007F132A" w:rsidRPr="00847FB9" w:rsidRDefault="00C6358D" w:rsidP="00847FB9">
            <w:pPr>
              <w:rPr>
                <w:sz w:val="20"/>
                <w:szCs w:val="20"/>
                <w:lang w:val="en-US"/>
              </w:rPr>
            </w:pPr>
            <w:r w:rsidRPr="00847FB9">
              <w:rPr>
                <w:sz w:val="20"/>
                <w:szCs w:val="20"/>
                <w:lang w:val="en-US"/>
              </w:rPr>
              <w:t>HB and s</w:t>
            </w:r>
            <w:r w:rsidR="00847FB9" w:rsidRPr="00847FB9">
              <w:rPr>
                <w:sz w:val="20"/>
                <w:szCs w:val="20"/>
                <w:lang w:val="en-US"/>
              </w:rPr>
              <w:t>u</w:t>
            </w:r>
            <w:r w:rsidRPr="00847FB9">
              <w:rPr>
                <w:sz w:val="20"/>
                <w:szCs w:val="20"/>
                <w:lang w:val="en-US"/>
              </w:rPr>
              <w:t>c</w:t>
            </w:r>
            <w:r w:rsidR="00847FB9" w:rsidRPr="00847FB9">
              <w:rPr>
                <w:sz w:val="20"/>
                <w:szCs w:val="20"/>
                <w:lang w:val="en-US"/>
              </w:rPr>
              <w:t>c</w:t>
            </w:r>
            <w:r w:rsidRPr="00847FB9">
              <w:rPr>
                <w:sz w:val="20"/>
                <w:szCs w:val="20"/>
                <w:lang w:val="en-US"/>
              </w:rPr>
              <w:t>essors (BC) Yes</w:t>
            </w:r>
          </w:p>
          <w:p w:rsidR="00C6358D" w:rsidRPr="00847FB9" w:rsidRDefault="00C6358D" w:rsidP="00847FB9">
            <w:pPr>
              <w:rPr>
                <w:sz w:val="20"/>
                <w:szCs w:val="20"/>
                <w:lang w:val="en-US"/>
              </w:rPr>
            </w:pPr>
            <w:r w:rsidRPr="00847FB9">
              <w:rPr>
                <w:sz w:val="20"/>
                <w:szCs w:val="20"/>
                <w:lang w:val="en-US"/>
              </w:rPr>
              <w:t>HB and su</w:t>
            </w:r>
            <w:r w:rsidR="00847FB9" w:rsidRPr="00847FB9">
              <w:rPr>
                <w:sz w:val="20"/>
                <w:szCs w:val="20"/>
                <w:lang w:val="en-US"/>
              </w:rPr>
              <w:t>c</w:t>
            </w:r>
            <w:r w:rsidRPr="00847FB9">
              <w:rPr>
                <w:sz w:val="20"/>
                <w:szCs w:val="20"/>
                <w:lang w:val="en-US"/>
              </w:rPr>
              <w:t>cessors (Navarre)</w:t>
            </w:r>
          </w:p>
          <w:p w:rsidR="00C6358D" w:rsidRPr="00847FB9" w:rsidRDefault="00C6358D" w:rsidP="00847FB9">
            <w:pPr>
              <w:pStyle w:val="ListParagraph"/>
              <w:numPr>
                <w:ilvl w:val="0"/>
                <w:numId w:val="3"/>
              </w:numPr>
              <w:rPr>
                <w:sz w:val="20"/>
                <w:szCs w:val="20"/>
                <w:lang w:val="en-US"/>
              </w:rPr>
            </w:pPr>
            <w:r w:rsidRPr="00847FB9">
              <w:rPr>
                <w:sz w:val="20"/>
                <w:szCs w:val="20"/>
                <w:lang w:val="en-US"/>
              </w:rPr>
              <w:t xml:space="preserve">2003 No </w:t>
            </w:r>
          </w:p>
          <w:p w:rsidR="00C6358D" w:rsidRPr="00847FB9" w:rsidRDefault="00C6358D" w:rsidP="00847FB9">
            <w:pPr>
              <w:pStyle w:val="ListParagraph"/>
              <w:numPr>
                <w:ilvl w:val="0"/>
                <w:numId w:val="3"/>
              </w:numPr>
              <w:rPr>
                <w:sz w:val="20"/>
                <w:szCs w:val="20"/>
                <w:lang w:val="en-US"/>
              </w:rPr>
            </w:pPr>
            <w:r w:rsidRPr="00847FB9">
              <w:rPr>
                <w:sz w:val="20"/>
                <w:szCs w:val="20"/>
                <w:lang w:val="en-US"/>
              </w:rPr>
              <w:t>2011 Yes</w:t>
            </w:r>
          </w:p>
        </w:tc>
        <w:tc>
          <w:tcPr>
            <w:tcW w:w="1973" w:type="dxa"/>
          </w:tcPr>
          <w:p w:rsidR="007F132A" w:rsidRPr="00847FB9" w:rsidRDefault="00C6358D" w:rsidP="00847FB9">
            <w:pPr>
              <w:rPr>
                <w:sz w:val="20"/>
                <w:szCs w:val="20"/>
                <w:lang w:val="en-US"/>
              </w:rPr>
            </w:pPr>
            <w:r w:rsidRPr="00847FB9">
              <w:rPr>
                <w:sz w:val="20"/>
                <w:szCs w:val="20"/>
                <w:lang w:val="en-US"/>
              </w:rPr>
              <w:t>RP No</w:t>
            </w:r>
          </w:p>
          <w:p w:rsidR="00C6358D" w:rsidRPr="00847FB9" w:rsidRDefault="00C6358D" w:rsidP="00847FB9">
            <w:pPr>
              <w:rPr>
                <w:sz w:val="20"/>
                <w:szCs w:val="20"/>
                <w:lang w:val="en-US"/>
              </w:rPr>
            </w:pPr>
            <w:r w:rsidRPr="00847FB9">
              <w:rPr>
                <w:sz w:val="20"/>
                <w:szCs w:val="20"/>
                <w:lang w:val="en-US"/>
              </w:rPr>
              <w:t>FP Yes</w:t>
            </w:r>
          </w:p>
          <w:p w:rsidR="00C6358D" w:rsidRPr="00847FB9" w:rsidRDefault="002F77FB" w:rsidP="00847FB9">
            <w:pPr>
              <w:rPr>
                <w:sz w:val="20"/>
                <w:szCs w:val="20"/>
                <w:lang w:val="en-US"/>
              </w:rPr>
            </w:pPr>
            <w:r>
              <w:rPr>
                <w:sz w:val="20"/>
                <w:szCs w:val="20"/>
                <w:lang w:val="en-US"/>
              </w:rPr>
              <w:t>HA</w:t>
            </w:r>
            <w:r w:rsidR="00C6358D" w:rsidRPr="00847FB9">
              <w:rPr>
                <w:sz w:val="20"/>
                <w:szCs w:val="20"/>
                <w:lang w:val="en-US"/>
              </w:rPr>
              <w:t>DEP No</w:t>
            </w:r>
          </w:p>
          <w:p w:rsidR="00C6358D" w:rsidRPr="00847FB9" w:rsidRDefault="00C6358D" w:rsidP="00847FB9">
            <w:pPr>
              <w:rPr>
                <w:sz w:val="20"/>
                <w:szCs w:val="20"/>
                <w:lang w:val="en-US"/>
              </w:rPr>
            </w:pPr>
            <w:r w:rsidRPr="00847FB9">
              <w:rPr>
                <w:sz w:val="20"/>
                <w:szCs w:val="20"/>
                <w:lang w:val="en-US"/>
              </w:rPr>
              <w:t>DTP Yes</w:t>
            </w:r>
          </w:p>
        </w:tc>
      </w:tr>
      <w:tr w:rsidR="00C6358D" w:rsidRPr="002F77FB" w:rsidTr="007F132A">
        <w:tc>
          <w:tcPr>
            <w:tcW w:w="4077" w:type="dxa"/>
          </w:tcPr>
          <w:p w:rsidR="007F132A" w:rsidRPr="00847FB9" w:rsidRDefault="007F132A" w:rsidP="00847FB9">
            <w:pPr>
              <w:rPr>
                <w:lang w:val="en-US"/>
              </w:rPr>
            </w:pPr>
            <w:r w:rsidRPr="00847FB9">
              <w:rPr>
                <w:b/>
                <w:lang w:val="en-US"/>
              </w:rPr>
              <w:t>Party ban reduces electoral and parliamentary fragmentation</w:t>
            </w:r>
          </w:p>
        </w:tc>
        <w:tc>
          <w:tcPr>
            <w:tcW w:w="2127" w:type="dxa"/>
          </w:tcPr>
          <w:p w:rsidR="007F132A" w:rsidRPr="00847FB9" w:rsidRDefault="00C6358D" w:rsidP="00847FB9">
            <w:pPr>
              <w:rPr>
                <w:sz w:val="20"/>
                <w:szCs w:val="20"/>
                <w:lang w:val="en-US"/>
              </w:rPr>
            </w:pPr>
            <w:r w:rsidRPr="00847FB9">
              <w:rPr>
                <w:sz w:val="20"/>
                <w:szCs w:val="20"/>
                <w:lang w:val="en-US"/>
              </w:rPr>
              <w:t>KPD Yes</w:t>
            </w:r>
          </w:p>
          <w:p w:rsidR="00C6358D" w:rsidRPr="00847FB9" w:rsidRDefault="00C6358D" w:rsidP="00847FB9">
            <w:pPr>
              <w:rPr>
                <w:sz w:val="20"/>
                <w:szCs w:val="20"/>
                <w:lang w:val="en-US"/>
              </w:rPr>
            </w:pPr>
            <w:r w:rsidRPr="00847FB9">
              <w:rPr>
                <w:sz w:val="20"/>
                <w:szCs w:val="20"/>
                <w:lang w:val="en-US"/>
              </w:rPr>
              <w:t>SRP Yes</w:t>
            </w:r>
          </w:p>
        </w:tc>
        <w:tc>
          <w:tcPr>
            <w:tcW w:w="1677" w:type="dxa"/>
          </w:tcPr>
          <w:p w:rsidR="00C6358D" w:rsidRPr="00847FB9" w:rsidRDefault="00C6358D" w:rsidP="00847FB9">
            <w:pPr>
              <w:rPr>
                <w:sz w:val="20"/>
                <w:szCs w:val="20"/>
                <w:lang w:val="en-US"/>
              </w:rPr>
            </w:pPr>
            <w:r w:rsidRPr="00847FB9">
              <w:rPr>
                <w:sz w:val="20"/>
                <w:szCs w:val="20"/>
                <w:lang w:val="en-US"/>
              </w:rPr>
              <w:t>HB and su</w:t>
            </w:r>
            <w:r w:rsidR="00847FB9" w:rsidRPr="00847FB9">
              <w:rPr>
                <w:sz w:val="20"/>
                <w:szCs w:val="20"/>
                <w:lang w:val="en-US"/>
              </w:rPr>
              <w:t>c</w:t>
            </w:r>
            <w:r w:rsidRPr="00847FB9">
              <w:rPr>
                <w:sz w:val="20"/>
                <w:szCs w:val="20"/>
                <w:lang w:val="en-US"/>
              </w:rPr>
              <w:t>cessors (BC) Yes</w:t>
            </w:r>
          </w:p>
          <w:p w:rsidR="007F132A" w:rsidRPr="00847FB9" w:rsidRDefault="00C6358D" w:rsidP="00847FB9">
            <w:pPr>
              <w:rPr>
                <w:sz w:val="20"/>
                <w:szCs w:val="20"/>
                <w:lang w:val="en-US"/>
              </w:rPr>
            </w:pPr>
            <w:r w:rsidRPr="00847FB9">
              <w:rPr>
                <w:sz w:val="20"/>
                <w:szCs w:val="20"/>
                <w:lang w:val="en-US"/>
              </w:rPr>
              <w:t>HB and suc</w:t>
            </w:r>
            <w:r w:rsidR="00847FB9" w:rsidRPr="00847FB9">
              <w:rPr>
                <w:sz w:val="20"/>
                <w:szCs w:val="20"/>
                <w:lang w:val="en-US"/>
              </w:rPr>
              <w:t>c</w:t>
            </w:r>
            <w:r w:rsidRPr="00847FB9">
              <w:rPr>
                <w:sz w:val="20"/>
                <w:szCs w:val="20"/>
                <w:lang w:val="en-US"/>
              </w:rPr>
              <w:t>essors (Navarre) Yes</w:t>
            </w:r>
          </w:p>
        </w:tc>
        <w:tc>
          <w:tcPr>
            <w:tcW w:w="1973" w:type="dxa"/>
          </w:tcPr>
          <w:p w:rsidR="007F132A" w:rsidRPr="00847FB9" w:rsidRDefault="00C6358D" w:rsidP="00847FB9">
            <w:pPr>
              <w:rPr>
                <w:sz w:val="20"/>
                <w:szCs w:val="20"/>
              </w:rPr>
            </w:pPr>
            <w:r w:rsidRPr="00847FB9">
              <w:rPr>
                <w:sz w:val="20"/>
                <w:szCs w:val="20"/>
              </w:rPr>
              <w:t>RP No</w:t>
            </w:r>
          </w:p>
          <w:p w:rsidR="00C6358D" w:rsidRPr="00847FB9" w:rsidRDefault="002F77FB" w:rsidP="00847FB9">
            <w:pPr>
              <w:rPr>
                <w:sz w:val="20"/>
                <w:szCs w:val="20"/>
              </w:rPr>
            </w:pPr>
            <w:r>
              <w:rPr>
                <w:sz w:val="20"/>
                <w:szCs w:val="20"/>
              </w:rPr>
              <w:t>HA</w:t>
            </w:r>
            <w:r w:rsidR="00C6358D" w:rsidRPr="00847FB9">
              <w:rPr>
                <w:sz w:val="20"/>
                <w:szCs w:val="20"/>
              </w:rPr>
              <w:t>DEP no</w:t>
            </w:r>
          </w:p>
          <w:p w:rsidR="00C6358D" w:rsidRPr="00847FB9" w:rsidRDefault="00C6358D" w:rsidP="00847FB9">
            <w:pPr>
              <w:rPr>
                <w:sz w:val="20"/>
                <w:szCs w:val="20"/>
              </w:rPr>
            </w:pPr>
            <w:r w:rsidRPr="00847FB9">
              <w:rPr>
                <w:sz w:val="20"/>
                <w:szCs w:val="20"/>
              </w:rPr>
              <w:t>DTP Yes</w:t>
            </w:r>
          </w:p>
        </w:tc>
      </w:tr>
      <w:tr w:rsidR="00C6358D" w:rsidRPr="002F77FB" w:rsidTr="007F132A">
        <w:tc>
          <w:tcPr>
            <w:tcW w:w="4077" w:type="dxa"/>
          </w:tcPr>
          <w:p w:rsidR="00C6358D" w:rsidRPr="00847FB9" w:rsidRDefault="00C6358D" w:rsidP="00847FB9">
            <w:pPr>
              <w:rPr>
                <w:lang w:val="en-US"/>
              </w:rPr>
            </w:pPr>
            <w:r w:rsidRPr="00847FB9">
              <w:rPr>
                <w:b/>
                <w:lang w:val="en-US"/>
              </w:rPr>
              <w:t xml:space="preserve">Party </w:t>
            </w:r>
            <w:proofErr w:type="spellStart"/>
            <w:r w:rsidRPr="00847FB9">
              <w:rPr>
                <w:b/>
                <w:lang w:val="en-US"/>
              </w:rPr>
              <w:t>legalisation</w:t>
            </w:r>
            <w:proofErr w:type="spellEnd"/>
            <w:r w:rsidRPr="00847FB9">
              <w:rPr>
                <w:b/>
                <w:lang w:val="en-US"/>
              </w:rPr>
              <w:t xml:space="preserve"> increases electoral and parliamentary fragmentation</w:t>
            </w:r>
          </w:p>
        </w:tc>
        <w:tc>
          <w:tcPr>
            <w:tcW w:w="2127" w:type="dxa"/>
          </w:tcPr>
          <w:p w:rsidR="00C6358D" w:rsidRPr="00847FB9" w:rsidRDefault="00C6358D" w:rsidP="00847FB9">
            <w:pPr>
              <w:rPr>
                <w:sz w:val="20"/>
                <w:szCs w:val="20"/>
                <w:lang w:val="en-US"/>
              </w:rPr>
            </w:pPr>
          </w:p>
        </w:tc>
        <w:tc>
          <w:tcPr>
            <w:tcW w:w="1677" w:type="dxa"/>
          </w:tcPr>
          <w:p w:rsidR="00C6358D" w:rsidRPr="00847FB9" w:rsidRDefault="00C6358D" w:rsidP="00847FB9">
            <w:pPr>
              <w:rPr>
                <w:sz w:val="20"/>
                <w:szCs w:val="20"/>
                <w:lang w:val="en-US"/>
              </w:rPr>
            </w:pPr>
            <w:r w:rsidRPr="00847FB9">
              <w:rPr>
                <w:sz w:val="20"/>
                <w:szCs w:val="20"/>
                <w:lang w:val="en-US"/>
              </w:rPr>
              <w:t>HB and su</w:t>
            </w:r>
            <w:r w:rsidR="00847FB9" w:rsidRPr="00847FB9">
              <w:rPr>
                <w:sz w:val="20"/>
                <w:szCs w:val="20"/>
                <w:lang w:val="en-US"/>
              </w:rPr>
              <w:t>c</w:t>
            </w:r>
            <w:r w:rsidRPr="00847FB9">
              <w:rPr>
                <w:sz w:val="20"/>
                <w:szCs w:val="20"/>
                <w:lang w:val="en-US"/>
              </w:rPr>
              <w:t>cessors (BC) Yes</w:t>
            </w:r>
          </w:p>
          <w:p w:rsidR="00C6358D" w:rsidRPr="00847FB9" w:rsidRDefault="00C6358D" w:rsidP="00847FB9">
            <w:pPr>
              <w:rPr>
                <w:sz w:val="20"/>
                <w:szCs w:val="20"/>
                <w:lang w:val="en-US"/>
              </w:rPr>
            </w:pPr>
            <w:r w:rsidRPr="00847FB9">
              <w:rPr>
                <w:sz w:val="20"/>
                <w:szCs w:val="20"/>
                <w:lang w:val="en-US"/>
              </w:rPr>
              <w:t>HB and su</w:t>
            </w:r>
            <w:r w:rsidR="00847FB9" w:rsidRPr="00847FB9">
              <w:rPr>
                <w:sz w:val="20"/>
                <w:szCs w:val="20"/>
                <w:lang w:val="en-US"/>
              </w:rPr>
              <w:t>c</w:t>
            </w:r>
            <w:r w:rsidRPr="00847FB9">
              <w:rPr>
                <w:sz w:val="20"/>
                <w:szCs w:val="20"/>
                <w:lang w:val="en-US"/>
              </w:rPr>
              <w:t>cessors (Navarre) Yes</w:t>
            </w:r>
          </w:p>
        </w:tc>
        <w:tc>
          <w:tcPr>
            <w:tcW w:w="1973" w:type="dxa"/>
          </w:tcPr>
          <w:p w:rsidR="00C6358D" w:rsidRPr="00847FB9" w:rsidRDefault="00C6358D" w:rsidP="00847FB9">
            <w:pPr>
              <w:rPr>
                <w:sz w:val="20"/>
                <w:szCs w:val="20"/>
                <w:lang w:val="en-US"/>
              </w:rPr>
            </w:pPr>
          </w:p>
        </w:tc>
      </w:tr>
      <w:tr w:rsidR="00C6358D" w:rsidRPr="002F77FB" w:rsidTr="007F132A">
        <w:tc>
          <w:tcPr>
            <w:tcW w:w="4077" w:type="dxa"/>
          </w:tcPr>
          <w:p w:rsidR="00C6358D" w:rsidRPr="00847FB9" w:rsidRDefault="00C6358D" w:rsidP="00847FB9">
            <w:pPr>
              <w:rPr>
                <w:lang w:val="en-US"/>
              </w:rPr>
            </w:pPr>
            <w:r w:rsidRPr="00847FB9">
              <w:rPr>
                <w:b/>
                <w:lang w:val="en-US"/>
              </w:rPr>
              <w:t xml:space="preserve">Party ban or </w:t>
            </w:r>
            <w:proofErr w:type="spellStart"/>
            <w:r w:rsidRPr="00847FB9">
              <w:rPr>
                <w:b/>
                <w:lang w:val="en-US"/>
              </w:rPr>
              <w:t>legalisation</w:t>
            </w:r>
            <w:proofErr w:type="spellEnd"/>
            <w:r w:rsidRPr="00847FB9">
              <w:rPr>
                <w:b/>
                <w:lang w:val="en-US"/>
              </w:rPr>
              <w:t xml:space="preserve"> changes category/class of party system</w:t>
            </w:r>
          </w:p>
        </w:tc>
        <w:tc>
          <w:tcPr>
            <w:tcW w:w="2127" w:type="dxa"/>
          </w:tcPr>
          <w:p w:rsidR="00C6358D" w:rsidRPr="00847FB9" w:rsidRDefault="00C6358D" w:rsidP="00847FB9">
            <w:pPr>
              <w:rPr>
                <w:sz w:val="20"/>
                <w:szCs w:val="20"/>
                <w:lang w:val="en-US"/>
              </w:rPr>
            </w:pPr>
            <w:r w:rsidRPr="00847FB9">
              <w:rPr>
                <w:sz w:val="20"/>
                <w:szCs w:val="20"/>
                <w:lang w:val="en-US"/>
              </w:rPr>
              <w:t>KPD Yes</w:t>
            </w:r>
          </w:p>
          <w:p w:rsidR="00C6358D" w:rsidRPr="00847FB9" w:rsidRDefault="00C6358D" w:rsidP="00847FB9">
            <w:pPr>
              <w:rPr>
                <w:sz w:val="20"/>
                <w:szCs w:val="20"/>
                <w:lang w:val="en-US"/>
              </w:rPr>
            </w:pPr>
            <w:r w:rsidRPr="00847FB9">
              <w:rPr>
                <w:sz w:val="20"/>
                <w:szCs w:val="20"/>
                <w:lang w:val="en-US"/>
              </w:rPr>
              <w:t>SRP Yes</w:t>
            </w:r>
          </w:p>
          <w:p w:rsidR="00C6358D" w:rsidRPr="00847FB9" w:rsidRDefault="00C6358D" w:rsidP="00847FB9">
            <w:pPr>
              <w:rPr>
                <w:sz w:val="20"/>
                <w:szCs w:val="20"/>
                <w:lang w:val="en-US"/>
              </w:rPr>
            </w:pPr>
            <w:r w:rsidRPr="00847FB9">
              <w:rPr>
                <w:sz w:val="20"/>
                <w:szCs w:val="20"/>
                <w:lang w:val="en-US"/>
              </w:rPr>
              <w:t>NDP Yes (failed ban)</w:t>
            </w:r>
          </w:p>
        </w:tc>
        <w:tc>
          <w:tcPr>
            <w:tcW w:w="1677" w:type="dxa"/>
          </w:tcPr>
          <w:p w:rsidR="00C6358D" w:rsidRPr="00847FB9" w:rsidRDefault="00C6358D" w:rsidP="00847FB9">
            <w:pPr>
              <w:rPr>
                <w:sz w:val="20"/>
                <w:szCs w:val="20"/>
                <w:lang w:val="en-US"/>
              </w:rPr>
            </w:pPr>
            <w:r w:rsidRPr="00847FB9">
              <w:rPr>
                <w:sz w:val="20"/>
                <w:szCs w:val="20"/>
                <w:lang w:val="en-US"/>
              </w:rPr>
              <w:t>HB and su</w:t>
            </w:r>
            <w:r w:rsidR="00847FB9" w:rsidRPr="00847FB9">
              <w:rPr>
                <w:sz w:val="20"/>
                <w:szCs w:val="20"/>
                <w:lang w:val="en-US"/>
              </w:rPr>
              <w:t>c</w:t>
            </w:r>
            <w:r w:rsidRPr="00847FB9">
              <w:rPr>
                <w:sz w:val="20"/>
                <w:szCs w:val="20"/>
                <w:lang w:val="en-US"/>
              </w:rPr>
              <w:t>cessors (BC) Yes</w:t>
            </w:r>
          </w:p>
          <w:p w:rsidR="00C6358D" w:rsidRPr="00847FB9" w:rsidRDefault="00C6358D" w:rsidP="00847FB9">
            <w:pPr>
              <w:rPr>
                <w:sz w:val="20"/>
                <w:szCs w:val="20"/>
                <w:lang w:val="en-US"/>
              </w:rPr>
            </w:pPr>
            <w:r w:rsidRPr="00847FB9">
              <w:rPr>
                <w:sz w:val="20"/>
                <w:szCs w:val="20"/>
                <w:lang w:val="en-US"/>
              </w:rPr>
              <w:t>HB and su</w:t>
            </w:r>
            <w:r w:rsidR="00847FB9" w:rsidRPr="00847FB9">
              <w:rPr>
                <w:sz w:val="20"/>
                <w:szCs w:val="20"/>
                <w:lang w:val="en-US"/>
              </w:rPr>
              <w:t>c</w:t>
            </w:r>
            <w:r w:rsidRPr="00847FB9">
              <w:rPr>
                <w:sz w:val="20"/>
                <w:szCs w:val="20"/>
                <w:lang w:val="en-US"/>
              </w:rPr>
              <w:t>cessors (Navarre) Yes</w:t>
            </w:r>
          </w:p>
        </w:tc>
        <w:tc>
          <w:tcPr>
            <w:tcW w:w="1973" w:type="dxa"/>
          </w:tcPr>
          <w:p w:rsidR="00C6358D" w:rsidRPr="00847FB9" w:rsidRDefault="00C6358D" w:rsidP="00847FB9">
            <w:pPr>
              <w:rPr>
                <w:sz w:val="20"/>
                <w:szCs w:val="20"/>
                <w:lang w:val="en-US"/>
              </w:rPr>
            </w:pPr>
            <w:r w:rsidRPr="00847FB9">
              <w:rPr>
                <w:sz w:val="20"/>
                <w:szCs w:val="20"/>
                <w:lang w:val="en-US"/>
              </w:rPr>
              <w:t>FP Yes</w:t>
            </w:r>
          </w:p>
          <w:p w:rsidR="00C6358D" w:rsidRPr="00847FB9" w:rsidRDefault="00C6358D" w:rsidP="00847FB9">
            <w:pPr>
              <w:rPr>
                <w:sz w:val="20"/>
                <w:szCs w:val="20"/>
                <w:lang w:val="en-US"/>
              </w:rPr>
            </w:pPr>
            <w:r w:rsidRPr="00847FB9">
              <w:rPr>
                <w:sz w:val="20"/>
                <w:szCs w:val="20"/>
                <w:lang w:val="en-US"/>
              </w:rPr>
              <w:t>AKP Yes</w:t>
            </w:r>
          </w:p>
          <w:p w:rsidR="00C6358D" w:rsidRPr="00847FB9" w:rsidRDefault="00C6358D" w:rsidP="00847FB9">
            <w:pPr>
              <w:rPr>
                <w:sz w:val="20"/>
                <w:szCs w:val="20"/>
                <w:lang w:val="en-US"/>
              </w:rPr>
            </w:pPr>
            <w:r w:rsidRPr="00847FB9">
              <w:rPr>
                <w:sz w:val="20"/>
                <w:szCs w:val="20"/>
                <w:lang w:val="en-US"/>
              </w:rPr>
              <w:t>DTP No</w:t>
            </w:r>
          </w:p>
        </w:tc>
      </w:tr>
      <w:tr w:rsidR="00C6358D" w:rsidRPr="002F77FB" w:rsidTr="007F132A">
        <w:tc>
          <w:tcPr>
            <w:tcW w:w="4077" w:type="dxa"/>
          </w:tcPr>
          <w:p w:rsidR="00C6358D" w:rsidRPr="00847FB9" w:rsidRDefault="00C6358D" w:rsidP="00847FB9">
            <w:pPr>
              <w:rPr>
                <w:lang w:val="en-US"/>
              </w:rPr>
            </w:pPr>
            <w:r w:rsidRPr="00847FB9">
              <w:rPr>
                <w:b/>
                <w:lang w:val="en-US"/>
              </w:rPr>
              <w:t>Party ban or legalization affect patterns  of government formation</w:t>
            </w:r>
          </w:p>
        </w:tc>
        <w:tc>
          <w:tcPr>
            <w:tcW w:w="2127" w:type="dxa"/>
          </w:tcPr>
          <w:p w:rsidR="00C6358D" w:rsidRPr="00847FB9" w:rsidRDefault="00C6358D" w:rsidP="00847FB9">
            <w:pPr>
              <w:rPr>
                <w:sz w:val="20"/>
                <w:szCs w:val="20"/>
                <w:lang w:val="en-US"/>
              </w:rPr>
            </w:pPr>
            <w:r w:rsidRPr="00847FB9">
              <w:rPr>
                <w:sz w:val="20"/>
                <w:szCs w:val="20"/>
                <w:lang w:val="en-US"/>
              </w:rPr>
              <w:t>KPD No</w:t>
            </w:r>
          </w:p>
          <w:p w:rsidR="00C6358D" w:rsidRPr="00847FB9" w:rsidRDefault="00C6358D" w:rsidP="00847FB9">
            <w:pPr>
              <w:rPr>
                <w:sz w:val="20"/>
                <w:szCs w:val="20"/>
                <w:lang w:val="en-US"/>
              </w:rPr>
            </w:pPr>
            <w:r w:rsidRPr="00847FB9">
              <w:rPr>
                <w:sz w:val="20"/>
                <w:szCs w:val="20"/>
                <w:lang w:val="en-US"/>
              </w:rPr>
              <w:t>SRP Yes</w:t>
            </w:r>
          </w:p>
        </w:tc>
        <w:tc>
          <w:tcPr>
            <w:tcW w:w="1677" w:type="dxa"/>
          </w:tcPr>
          <w:p w:rsidR="00C6358D" w:rsidRPr="00847FB9" w:rsidRDefault="00C6358D" w:rsidP="00847FB9">
            <w:pPr>
              <w:rPr>
                <w:sz w:val="20"/>
                <w:szCs w:val="20"/>
                <w:lang w:val="en-US"/>
              </w:rPr>
            </w:pPr>
            <w:r w:rsidRPr="00847FB9">
              <w:rPr>
                <w:sz w:val="20"/>
                <w:szCs w:val="20"/>
                <w:lang w:val="en-US"/>
              </w:rPr>
              <w:t>HB and su</w:t>
            </w:r>
            <w:r w:rsidR="00847FB9" w:rsidRPr="00847FB9">
              <w:rPr>
                <w:sz w:val="20"/>
                <w:szCs w:val="20"/>
                <w:lang w:val="en-US"/>
              </w:rPr>
              <w:t>c</w:t>
            </w:r>
            <w:r w:rsidRPr="00847FB9">
              <w:rPr>
                <w:sz w:val="20"/>
                <w:szCs w:val="20"/>
                <w:lang w:val="en-US"/>
              </w:rPr>
              <w:t>cessors (BC) Yes</w:t>
            </w:r>
          </w:p>
          <w:p w:rsidR="00C6358D" w:rsidRPr="00847FB9" w:rsidRDefault="00C6358D" w:rsidP="00847FB9">
            <w:pPr>
              <w:rPr>
                <w:sz w:val="20"/>
                <w:szCs w:val="20"/>
                <w:lang w:val="en-US"/>
              </w:rPr>
            </w:pPr>
            <w:r w:rsidRPr="00847FB9">
              <w:rPr>
                <w:sz w:val="20"/>
                <w:szCs w:val="20"/>
                <w:lang w:val="en-US"/>
              </w:rPr>
              <w:t>HB and su</w:t>
            </w:r>
            <w:r w:rsidR="00847FB9" w:rsidRPr="00847FB9">
              <w:rPr>
                <w:sz w:val="20"/>
                <w:szCs w:val="20"/>
                <w:lang w:val="en-US"/>
              </w:rPr>
              <w:t>c</w:t>
            </w:r>
            <w:r w:rsidRPr="00847FB9">
              <w:rPr>
                <w:sz w:val="20"/>
                <w:szCs w:val="20"/>
                <w:lang w:val="en-US"/>
              </w:rPr>
              <w:t>cessors (Navarre) Yes</w:t>
            </w:r>
          </w:p>
        </w:tc>
        <w:tc>
          <w:tcPr>
            <w:tcW w:w="1973" w:type="dxa"/>
          </w:tcPr>
          <w:p w:rsidR="00C6358D" w:rsidRPr="00847FB9" w:rsidRDefault="00C6358D" w:rsidP="00847FB9">
            <w:pPr>
              <w:rPr>
                <w:sz w:val="20"/>
                <w:szCs w:val="20"/>
                <w:lang w:val="en-US"/>
              </w:rPr>
            </w:pPr>
            <w:r w:rsidRPr="00847FB9">
              <w:rPr>
                <w:sz w:val="20"/>
                <w:szCs w:val="20"/>
                <w:lang w:val="en-US"/>
              </w:rPr>
              <w:t>FP Yes</w:t>
            </w:r>
          </w:p>
          <w:p w:rsidR="00C6358D" w:rsidRPr="00847FB9" w:rsidRDefault="00C6358D" w:rsidP="00847FB9">
            <w:pPr>
              <w:rPr>
                <w:sz w:val="20"/>
                <w:szCs w:val="20"/>
                <w:lang w:val="en-US"/>
              </w:rPr>
            </w:pPr>
            <w:r w:rsidRPr="00847FB9">
              <w:rPr>
                <w:sz w:val="20"/>
                <w:szCs w:val="20"/>
                <w:lang w:val="en-US"/>
              </w:rPr>
              <w:t>AKP Yes</w:t>
            </w:r>
          </w:p>
          <w:p w:rsidR="00C6358D" w:rsidRPr="00847FB9" w:rsidRDefault="00C6358D" w:rsidP="00847FB9">
            <w:pPr>
              <w:rPr>
                <w:sz w:val="20"/>
                <w:szCs w:val="20"/>
                <w:lang w:val="en-US"/>
              </w:rPr>
            </w:pPr>
            <w:r w:rsidRPr="00847FB9">
              <w:rPr>
                <w:sz w:val="20"/>
                <w:szCs w:val="20"/>
                <w:lang w:val="en-US"/>
              </w:rPr>
              <w:t>DTP No</w:t>
            </w:r>
          </w:p>
        </w:tc>
      </w:tr>
    </w:tbl>
    <w:p w:rsidR="007F132A" w:rsidRPr="00847FB9" w:rsidRDefault="007F132A" w:rsidP="00847FB9">
      <w:pPr>
        <w:spacing w:after="0" w:line="240" w:lineRule="auto"/>
        <w:jc w:val="both"/>
        <w:rPr>
          <w:rFonts w:ascii="Times New Roman" w:hAnsi="Times New Roman" w:cs="Times New Roman"/>
          <w:sz w:val="20"/>
          <w:szCs w:val="20"/>
          <w:lang w:val="en-US"/>
        </w:rPr>
      </w:pPr>
    </w:p>
    <w:p w:rsidR="0094195E" w:rsidRDefault="0094195E" w:rsidP="00D728D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no party system effects were observed it was due to the rapid emergence of successor parties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in Navarre (Spain) where HB was succeeded by parties such as </w:t>
      </w:r>
      <w:proofErr w:type="spellStart"/>
      <w:r>
        <w:rPr>
          <w:rFonts w:ascii="Times New Roman" w:hAnsi="Times New Roman" w:cs="Times New Roman"/>
          <w:sz w:val="24"/>
          <w:szCs w:val="24"/>
          <w:lang w:val="en-US"/>
        </w:rPr>
        <w:t>Aralar</w:t>
      </w:r>
      <w:proofErr w:type="spellEnd"/>
      <w:r>
        <w:rPr>
          <w:rFonts w:ascii="Times New Roman" w:hAnsi="Times New Roman" w:cs="Times New Roman"/>
          <w:sz w:val="24"/>
          <w:szCs w:val="24"/>
          <w:lang w:val="en-US"/>
        </w:rPr>
        <w:t>, or in Turkey where RP was quickly succeeded by FP before it was banned), or where parties were too small to make an impact on the party system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DTP in Turkey).</w:t>
      </w:r>
      <w:proofErr w:type="gramEnd"/>
      <w:r>
        <w:rPr>
          <w:rFonts w:ascii="Times New Roman" w:hAnsi="Times New Roman" w:cs="Times New Roman"/>
          <w:sz w:val="24"/>
          <w:szCs w:val="24"/>
          <w:lang w:val="en-US"/>
        </w:rPr>
        <w:t xml:space="preserve"> During empirical research an additional hypothesis </w:t>
      </w:r>
      <w:r w:rsidR="007F132A">
        <w:rPr>
          <w:rFonts w:ascii="Times New Roman" w:hAnsi="Times New Roman" w:cs="Times New Roman"/>
          <w:sz w:val="24"/>
          <w:szCs w:val="24"/>
          <w:lang w:val="en-US"/>
        </w:rPr>
        <w:t xml:space="preserve">about the failure of attempts to ban parties was also developed. The failure to ban parties, </w:t>
      </w:r>
      <w:r w:rsidR="00847FB9">
        <w:rPr>
          <w:rFonts w:ascii="Times New Roman" w:hAnsi="Times New Roman" w:cs="Times New Roman"/>
          <w:sz w:val="24"/>
          <w:szCs w:val="24"/>
          <w:lang w:val="en-US"/>
        </w:rPr>
        <w:t xml:space="preserve">as </w:t>
      </w:r>
      <w:r w:rsidR="007F132A">
        <w:rPr>
          <w:rFonts w:ascii="Times New Roman" w:hAnsi="Times New Roman" w:cs="Times New Roman"/>
          <w:sz w:val="24"/>
          <w:szCs w:val="24"/>
          <w:lang w:val="en-US"/>
        </w:rPr>
        <w:t>cases of the NPD in Germany and AKP</w:t>
      </w:r>
      <w:r w:rsidR="00847FB9">
        <w:rPr>
          <w:rFonts w:ascii="Times New Roman" w:hAnsi="Times New Roman" w:cs="Times New Roman"/>
          <w:sz w:val="24"/>
          <w:szCs w:val="24"/>
          <w:lang w:val="en-US"/>
        </w:rPr>
        <w:t xml:space="preserve"> in Turkey</w:t>
      </w:r>
      <w:r w:rsidR="007F132A">
        <w:rPr>
          <w:rFonts w:ascii="Times New Roman" w:hAnsi="Times New Roman" w:cs="Times New Roman"/>
          <w:sz w:val="24"/>
          <w:szCs w:val="24"/>
          <w:lang w:val="en-US"/>
        </w:rPr>
        <w:t xml:space="preserve"> showed</w:t>
      </w:r>
      <w:r w:rsidR="00847FB9">
        <w:rPr>
          <w:rFonts w:ascii="Times New Roman" w:hAnsi="Times New Roman" w:cs="Times New Roman"/>
          <w:sz w:val="24"/>
          <w:szCs w:val="24"/>
          <w:lang w:val="en-US"/>
        </w:rPr>
        <w:t>,</w:t>
      </w:r>
      <w:r w:rsidR="007F132A">
        <w:rPr>
          <w:rFonts w:ascii="Times New Roman" w:hAnsi="Times New Roman" w:cs="Times New Roman"/>
          <w:sz w:val="24"/>
          <w:szCs w:val="24"/>
          <w:lang w:val="en-US"/>
        </w:rPr>
        <w:t xml:space="preserve"> can also have </w:t>
      </w:r>
      <w:r w:rsidR="00847FB9">
        <w:rPr>
          <w:rFonts w:ascii="Times New Roman" w:hAnsi="Times New Roman" w:cs="Times New Roman"/>
          <w:sz w:val="24"/>
          <w:szCs w:val="24"/>
          <w:lang w:val="en-US"/>
        </w:rPr>
        <w:t xml:space="preserve">party </w:t>
      </w:r>
      <w:r w:rsidR="007F132A">
        <w:rPr>
          <w:rFonts w:ascii="Times New Roman" w:hAnsi="Times New Roman" w:cs="Times New Roman"/>
          <w:sz w:val="24"/>
          <w:szCs w:val="24"/>
          <w:lang w:val="en-US"/>
        </w:rPr>
        <w:t xml:space="preserve">system effects such as increased electoral volatility or change in category/class of party system. A final rationale for the </w:t>
      </w:r>
      <w:r w:rsidR="007F132A">
        <w:rPr>
          <w:rFonts w:ascii="Times New Roman" w:hAnsi="Times New Roman" w:cs="Times New Roman"/>
          <w:sz w:val="24"/>
          <w:szCs w:val="24"/>
          <w:lang w:val="en-US"/>
        </w:rPr>
        <w:lastRenderedPageBreak/>
        <w:t xml:space="preserve">selection of cases was variation in the degree of democratization. However, as Table 8 shows, party system effects did not appear to vary systematically depending on the degree of democratization. </w:t>
      </w:r>
    </w:p>
    <w:p w:rsidR="0094195E" w:rsidRDefault="0094195E" w:rsidP="00D728D0">
      <w:pPr>
        <w:spacing w:after="0" w:line="360" w:lineRule="auto"/>
        <w:jc w:val="both"/>
        <w:rPr>
          <w:rFonts w:ascii="Times New Roman" w:hAnsi="Times New Roman" w:cs="Times New Roman"/>
          <w:sz w:val="24"/>
          <w:szCs w:val="24"/>
          <w:lang w:val="en-US"/>
        </w:rPr>
      </w:pPr>
    </w:p>
    <w:p w:rsidR="0094195E" w:rsidRDefault="0094195E" w:rsidP="00D728D0">
      <w:pPr>
        <w:spacing w:after="0" w:line="360" w:lineRule="auto"/>
        <w:jc w:val="both"/>
        <w:rPr>
          <w:rFonts w:ascii="Times New Roman" w:hAnsi="Times New Roman" w:cs="Times New Roman"/>
          <w:sz w:val="24"/>
          <w:szCs w:val="24"/>
          <w:lang w:val="en-US"/>
        </w:rPr>
      </w:pPr>
    </w:p>
    <w:p w:rsidR="0094195E" w:rsidRDefault="0094195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A2DE1" w:rsidRPr="00161C1B" w:rsidRDefault="00EA2DE1" w:rsidP="00D728D0">
      <w:pPr>
        <w:spacing w:after="0" w:line="360" w:lineRule="auto"/>
        <w:jc w:val="both"/>
        <w:rPr>
          <w:rFonts w:ascii="Times New Roman" w:hAnsi="Times New Roman" w:cs="Times New Roman"/>
          <w:sz w:val="24"/>
          <w:szCs w:val="24"/>
          <w:lang w:val="en-US"/>
        </w:rPr>
      </w:pPr>
    </w:p>
    <w:p w:rsidR="00161C1B" w:rsidRPr="00161C1B" w:rsidRDefault="00161C1B" w:rsidP="00161C1B">
      <w:pPr>
        <w:spacing w:after="0" w:line="360" w:lineRule="auto"/>
        <w:jc w:val="center"/>
        <w:rPr>
          <w:rFonts w:ascii="Times New Roman" w:hAnsi="Times New Roman" w:cs="Times New Roman"/>
          <w:b/>
          <w:sz w:val="24"/>
          <w:szCs w:val="24"/>
          <w:lang w:val="en-US"/>
        </w:rPr>
      </w:pPr>
      <w:r w:rsidRPr="00161C1B">
        <w:rPr>
          <w:rFonts w:ascii="Times New Roman" w:hAnsi="Times New Roman" w:cs="Times New Roman"/>
          <w:b/>
          <w:sz w:val="24"/>
          <w:szCs w:val="24"/>
          <w:lang w:val="en-US"/>
        </w:rPr>
        <w:t>References</w:t>
      </w:r>
    </w:p>
    <w:p w:rsidR="00161C1B" w:rsidRPr="00161C1B" w:rsidRDefault="00161C1B" w:rsidP="00161C1B">
      <w:pPr>
        <w:spacing w:after="0" w:line="360" w:lineRule="auto"/>
        <w:jc w:val="both"/>
        <w:rPr>
          <w:rFonts w:ascii="Times New Roman" w:hAnsi="Times New Roman" w:cs="Times New Roman"/>
          <w:sz w:val="24"/>
          <w:szCs w:val="24"/>
          <w:lang w:val="en-US" w:eastAsia="en-GB"/>
        </w:rPr>
      </w:pPr>
      <w:proofErr w:type="spellStart"/>
      <w:r w:rsidRPr="00161C1B">
        <w:rPr>
          <w:rFonts w:ascii="Times New Roman" w:hAnsi="Times New Roman" w:cs="Times New Roman"/>
          <w:sz w:val="24"/>
          <w:szCs w:val="24"/>
          <w:lang w:val="en-US"/>
        </w:rPr>
        <w:t>Avineri</w:t>
      </w:r>
      <w:proofErr w:type="spellEnd"/>
      <w:r w:rsidRPr="00161C1B">
        <w:rPr>
          <w:rFonts w:ascii="Times New Roman" w:hAnsi="Times New Roman" w:cs="Times New Roman"/>
          <w:sz w:val="24"/>
          <w:szCs w:val="24"/>
          <w:lang w:val="en-US"/>
        </w:rPr>
        <w:t xml:space="preserve">, S (2004) “Introduction”, in </w:t>
      </w:r>
      <w:proofErr w:type="spellStart"/>
      <w:r w:rsidRPr="00161C1B">
        <w:rPr>
          <w:rFonts w:ascii="Times New Roman" w:hAnsi="Times New Roman" w:cs="Times New Roman"/>
          <w:sz w:val="24"/>
          <w:szCs w:val="24"/>
          <w:lang w:val="en-US" w:eastAsia="en-GB"/>
        </w:rPr>
        <w:t>Sajó</w:t>
      </w:r>
      <w:proofErr w:type="spellEnd"/>
      <w:r w:rsidRPr="00161C1B">
        <w:rPr>
          <w:rFonts w:ascii="Times New Roman" w:hAnsi="Times New Roman" w:cs="Times New Roman"/>
          <w:sz w:val="24"/>
          <w:szCs w:val="24"/>
          <w:lang w:val="en-US" w:eastAsia="en-GB"/>
        </w:rPr>
        <w:t>, A. (ed.) (2004) Militant Democracy. Utrecht, the Netherlands: Eleven</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Bale, T. (2003): “Cinderella and her Ugly Sisters: the Mainstream and Extreme Right in Europe´s </w:t>
      </w:r>
      <w:proofErr w:type="spellStart"/>
      <w:r w:rsidRPr="00161C1B">
        <w:rPr>
          <w:rFonts w:ascii="Times New Roman" w:hAnsi="Times New Roman" w:cs="Times New Roman"/>
          <w:sz w:val="24"/>
          <w:szCs w:val="24"/>
          <w:lang w:val="en-US"/>
        </w:rPr>
        <w:t>Bipolarising</w:t>
      </w:r>
      <w:proofErr w:type="spellEnd"/>
      <w:r w:rsidRPr="00161C1B">
        <w:rPr>
          <w:rFonts w:ascii="Times New Roman" w:hAnsi="Times New Roman" w:cs="Times New Roman"/>
          <w:sz w:val="24"/>
          <w:szCs w:val="24"/>
          <w:lang w:val="en-US"/>
        </w:rPr>
        <w:t xml:space="preserve"> Party Systems”, </w:t>
      </w:r>
      <w:r w:rsidRPr="00161C1B">
        <w:rPr>
          <w:rFonts w:ascii="Times New Roman" w:hAnsi="Times New Roman" w:cs="Times New Roman"/>
          <w:i/>
          <w:sz w:val="24"/>
          <w:szCs w:val="24"/>
          <w:lang w:val="en-US"/>
        </w:rPr>
        <w:t>West European Politics</w:t>
      </w:r>
      <w:r w:rsidRPr="00161C1B">
        <w:rPr>
          <w:rFonts w:ascii="Times New Roman" w:hAnsi="Times New Roman" w:cs="Times New Roman"/>
          <w:sz w:val="24"/>
          <w:szCs w:val="24"/>
          <w:lang w:val="en-US"/>
        </w:rPr>
        <w:t>, v. 26, n. 3, pp. 67-90</w:t>
      </w:r>
    </w:p>
    <w:p w:rsidR="00161C1B" w:rsidRPr="00161C1B" w:rsidRDefault="00161C1B" w:rsidP="00161C1B">
      <w:pPr>
        <w:autoSpaceDE w:val="0"/>
        <w:autoSpaceDN w:val="0"/>
        <w:adjustRightInd w:val="0"/>
        <w:spacing w:after="0" w:line="360" w:lineRule="auto"/>
        <w:jc w:val="both"/>
        <w:rPr>
          <w:rFonts w:ascii="Times New Roman" w:hAnsi="Times New Roman" w:cs="Times New Roman"/>
          <w:sz w:val="24"/>
          <w:szCs w:val="24"/>
          <w:lang w:val="en-US" w:eastAsia="en-GB"/>
        </w:rPr>
      </w:pPr>
      <w:r w:rsidRPr="00161C1B">
        <w:rPr>
          <w:rFonts w:ascii="Times New Roman" w:hAnsi="Times New Roman" w:cs="Times New Roman"/>
          <w:sz w:val="24"/>
          <w:szCs w:val="24"/>
          <w:lang w:val="en-US" w:eastAsia="en-GB"/>
        </w:rPr>
        <w:t xml:space="preserve">Bale, T. (2007) </w:t>
      </w:r>
      <w:proofErr w:type="gramStart"/>
      <w:r w:rsidRPr="00161C1B">
        <w:rPr>
          <w:rFonts w:ascii="Times New Roman" w:hAnsi="Times New Roman" w:cs="Times New Roman"/>
          <w:sz w:val="24"/>
          <w:szCs w:val="24"/>
          <w:lang w:val="en-US" w:eastAsia="en-GB"/>
        </w:rPr>
        <w:t>Are</w:t>
      </w:r>
      <w:proofErr w:type="gramEnd"/>
      <w:r w:rsidRPr="00161C1B">
        <w:rPr>
          <w:rFonts w:ascii="Times New Roman" w:hAnsi="Times New Roman" w:cs="Times New Roman"/>
          <w:sz w:val="24"/>
          <w:szCs w:val="24"/>
          <w:lang w:val="en-US" w:eastAsia="en-GB"/>
        </w:rPr>
        <w:t xml:space="preserve"> bans on political parties bound to turn out badly? </w:t>
      </w:r>
      <w:r w:rsidRPr="00161C1B">
        <w:rPr>
          <w:rFonts w:ascii="Times New Roman" w:hAnsi="Times New Roman" w:cs="Times New Roman"/>
          <w:i/>
          <w:sz w:val="24"/>
          <w:szCs w:val="24"/>
          <w:lang w:val="en-US" w:eastAsia="en-GB"/>
        </w:rPr>
        <w:t>Comparative European Politics</w:t>
      </w:r>
      <w:r w:rsidRPr="00161C1B">
        <w:rPr>
          <w:rFonts w:ascii="Times New Roman" w:hAnsi="Times New Roman" w:cs="Times New Roman"/>
          <w:sz w:val="24"/>
          <w:szCs w:val="24"/>
          <w:lang w:val="en-US" w:eastAsia="en-GB"/>
        </w:rPr>
        <w:t xml:space="preserve"> 5:2: 141–157</w:t>
      </w:r>
    </w:p>
    <w:p w:rsidR="00161C1B" w:rsidRPr="00161C1B" w:rsidRDefault="00161C1B" w:rsidP="00161C1B">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US"/>
        </w:rPr>
        <w:t>Bartolini</w:t>
      </w:r>
      <w:proofErr w:type="spellEnd"/>
      <w:r w:rsidRPr="00161C1B">
        <w:rPr>
          <w:rFonts w:ascii="Times New Roman" w:hAnsi="Times New Roman" w:cs="Times New Roman"/>
          <w:sz w:val="24"/>
          <w:szCs w:val="24"/>
          <w:lang w:val="en-US"/>
        </w:rPr>
        <w:t xml:space="preserve">, S. and </w:t>
      </w:r>
      <w:proofErr w:type="spellStart"/>
      <w:r w:rsidRPr="00161C1B">
        <w:rPr>
          <w:rFonts w:ascii="Times New Roman" w:hAnsi="Times New Roman" w:cs="Times New Roman"/>
          <w:sz w:val="24"/>
          <w:szCs w:val="24"/>
          <w:lang w:val="en-US"/>
        </w:rPr>
        <w:t>Mair</w:t>
      </w:r>
      <w:proofErr w:type="spellEnd"/>
      <w:r w:rsidRPr="00161C1B">
        <w:rPr>
          <w:rFonts w:ascii="Times New Roman" w:hAnsi="Times New Roman" w:cs="Times New Roman"/>
          <w:sz w:val="24"/>
          <w:szCs w:val="24"/>
          <w:lang w:val="en-US"/>
        </w:rPr>
        <w:t xml:space="preserve">, P. (1990): </w:t>
      </w:r>
      <w:r w:rsidRPr="00161C1B">
        <w:rPr>
          <w:rFonts w:ascii="Times New Roman" w:hAnsi="Times New Roman" w:cs="Times New Roman"/>
          <w:i/>
          <w:iCs/>
          <w:sz w:val="24"/>
          <w:szCs w:val="24"/>
          <w:lang w:val="en-US"/>
        </w:rPr>
        <w:t>Identity, Competition, and Electoral Availability: the</w:t>
      </w:r>
      <w:r w:rsidRPr="00161C1B">
        <w:rPr>
          <w:rFonts w:ascii="Times New Roman" w:hAnsi="Times New Roman" w:cs="Times New Roman"/>
          <w:sz w:val="24"/>
          <w:szCs w:val="24"/>
          <w:lang w:val="en-US"/>
        </w:rPr>
        <w:t xml:space="preserve"> </w:t>
      </w:r>
      <w:r w:rsidRPr="00161C1B">
        <w:rPr>
          <w:rFonts w:ascii="Times New Roman" w:hAnsi="Times New Roman" w:cs="Times New Roman"/>
          <w:i/>
          <w:iCs/>
          <w:sz w:val="24"/>
          <w:szCs w:val="24"/>
          <w:lang w:val="en-US"/>
        </w:rPr>
        <w:t>Stabilization of European Electorates 1885–1985</w:t>
      </w:r>
      <w:r w:rsidRPr="00161C1B">
        <w:rPr>
          <w:rFonts w:ascii="Times New Roman" w:hAnsi="Times New Roman" w:cs="Times New Roman"/>
          <w:sz w:val="24"/>
          <w:szCs w:val="24"/>
          <w:lang w:val="en-US"/>
        </w:rPr>
        <w:t>, Cambridge: Cambridge University Press</w:t>
      </w:r>
    </w:p>
    <w:p w:rsidR="00161C1B" w:rsidRPr="00161C1B" w:rsidRDefault="00161C1B" w:rsidP="00161C1B">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US"/>
        </w:rPr>
        <w:t>Bardi</w:t>
      </w:r>
      <w:proofErr w:type="spellEnd"/>
      <w:r w:rsidRPr="00161C1B">
        <w:rPr>
          <w:rFonts w:ascii="Times New Roman" w:hAnsi="Times New Roman" w:cs="Times New Roman"/>
          <w:sz w:val="24"/>
          <w:szCs w:val="24"/>
          <w:lang w:val="en-US"/>
        </w:rPr>
        <w:t xml:space="preserve">, L. and </w:t>
      </w:r>
      <w:proofErr w:type="spellStart"/>
      <w:r w:rsidRPr="00161C1B">
        <w:rPr>
          <w:rFonts w:ascii="Times New Roman" w:hAnsi="Times New Roman" w:cs="Times New Roman"/>
          <w:sz w:val="24"/>
          <w:szCs w:val="24"/>
          <w:lang w:val="en-US"/>
        </w:rPr>
        <w:t>Mair</w:t>
      </w:r>
      <w:proofErr w:type="spellEnd"/>
      <w:r w:rsidRPr="00161C1B">
        <w:rPr>
          <w:rFonts w:ascii="Times New Roman" w:hAnsi="Times New Roman" w:cs="Times New Roman"/>
          <w:sz w:val="24"/>
          <w:szCs w:val="24"/>
          <w:lang w:val="en-US"/>
        </w:rPr>
        <w:t xml:space="preserve">, P. (2008): “The Parameters of Party Systems”, </w:t>
      </w:r>
      <w:r w:rsidRPr="00161C1B">
        <w:rPr>
          <w:rFonts w:ascii="Times New Roman" w:hAnsi="Times New Roman" w:cs="Times New Roman"/>
          <w:i/>
          <w:sz w:val="24"/>
          <w:szCs w:val="24"/>
          <w:lang w:val="en-US"/>
        </w:rPr>
        <w:t>Party Politics</w:t>
      </w:r>
      <w:r w:rsidRPr="00161C1B">
        <w:rPr>
          <w:rFonts w:ascii="Times New Roman" w:hAnsi="Times New Roman" w:cs="Times New Roman"/>
          <w:sz w:val="24"/>
          <w:szCs w:val="24"/>
          <w:lang w:val="en-US"/>
        </w:rPr>
        <w:t>, v. 14,</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n. 2, pp. 147-166</w:t>
      </w:r>
    </w:p>
    <w:p w:rsidR="00161C1B" w:rsidRPr="00161C1B" w:rsidRDefault="00161C1B" w:rsidP="00161C1B">
      <w:pPr>
        <w:spacing w:after="0" w:line="360" w:lineRule="auto"/>
        <w:jc w:val="both"/>
        <w:rPr>
          <w:rFonts w:ascii="Times New Roman" w:hAnsi="Times New Roman" w:cs="Times New Roman"/>
          <w:i/>
          <w:sz w:val="24"/>
          <w:szCs w:val="24"/>
          <w:lang w:val="en-GB"/>
        </w:rPr>
      </w:pPr>
      <w:proofErr w:type="spellStart"/>
      <w:r w:rsidRPr="00161C1B">
        <w:rPr>
          <w:rFonts w:ascii="Times New Roman" w:hAnsi="Times New Roman" w:cs="Times New Roman"/>
          <w:sz w:val="24"/>
          <w:szCs w:val="24"/>
          <w:lang w:val="en-US"/>
        </w:rPr>
        <w:t>Biezen</w:t>
      </w:r>
      <w:proofErr w:type="spellEnd"/>
      <w:r w:rsidRPr="00161C1B">
        <w:rPr>
          <w:rFonts w:ascii="Times New Roman" w:hAnsi="Times New Roman" w:cs="Times New Roman"/>
          <w:sz w:val="24"/>
          <w:szCs w:val="24"/>
          <w:lang w:val="en-US"/>
        </w:rPr>
        <w:t xml:space="preserve">, I. van and Casal </w:t>
      </w:r>
      <w:proofErr w:type="spellStart"/>
      <w:r w:rsidRPr="00161C1B">
        <w:rPr>
          <w:rFonts w:ascii="Times New Roman" w:hAnsi="Times New Roman" w:cs="Times New Roman"/>
          <w:sz w:val="24"/>
          <w:szCs w:val="24"/>
          <w:lang w:val="en-US"/>
        </w:rPr>
        <w:t>Bértoa</w:t>
      </w:r>
      <w:proofErr w:type="spellEnd"/>
      <w:r w:rsidRPr="00161C1B">
        <w:rPr>
          <w:rFonts w:ascii="Times New Roman" w:hAnsi="Times New Roman" w:cs="Times New Roman"/>
          <w:sz w:val="24"/>
          <w:szCs w:val="24"/>
          <w:lang w:val="en-US"/>
        </w:rPr>
        <w:t xml:space="preserve">, F. (2014): </w:t>
      </w:r>
      <w:r w:rsidRPr="00161C1B">
        <w:rPr>
          <w:rFonts w:ascii="Times New Roman" w:hAnsi="Times New Roman" w:cs="Times New Roman"/>
          <w:sz w:val="24"/>
          <w:szCs w:val="24"/>
          <w:lang w:val="en-GB"/>
        </w:rPr>
        <w:t xml:space="preserve">“Party Regulation in Post-authoritarian Contexts: Southern Europe in Comparative Perspective”, </w:t>
      </w:r>
      <w:r w:rsidRPr="00161C1B">
        <w:rPr>
          <w:rFonts w:ascii="Times New Roman" w:hAnsi="Times New Roman" w:cs="Times New Roman"/>
          <w:i/>
          <w:sz w:val="24"/>
          <w:szCs w:val="24"/>
          <w:lang w:val="en-GB"/>
        </w:rPr>
        <w:t>South European Society and Politics</w:t>
      </w:r>
    </w:p>
    <w:p w:rsidR="00161C1B" w:rsidRPr="00161C1B" w:rsidRDefault="00161C1B" w:rsidP="00161C1B">
      <w:pPr>
        <w:autoSpaceDE w:val="0"/>
        <w:spacing w:after="0" w:line="360" w:lineRule="auto"/>
        <w:jc w:val="both"/>
        <w:rPr>
          <w:rFonts w:ascii="Times New Roman" w:hAnsi="Times New Roman" w:cs="Times New Roman"/>
          <w:i/>
          <w:sz w:val="24"/>
          <w:szCs w:val="24"/>
          <w:lang w:val="en-GB"/>
        </w:rPr>
      </w:pPr>
      <w:proofErr w:type="spellStart"/>
      <w:r w:rsidRPr="00161C1B">
        <w:rPr>
          <w:rFonts w:ascii="Times New Roman" w:hAnsi="Times New Roman" w:cs="Times New Roman"/>
          <w:sz w:val="24"/>
          <w:szCs w:val="24"/>
          <w:lang w:val="es-ES"/>
        </w:rPr>
        <w:t>Biezen</w:t>
      </w:r>
      <w:proofErr w:type="spellEnd"/>
      <w:r w:rsidRPr="00161C1B">
        <w:rPr>
          <w:rFonts w:ascii="Times New Roman" w:hAnsi="Times New Roman" w:cs="Times New Roman"/>
          <w:sz w:val="24"/>
          <w:szCs w:val="24"/>
          <w:lang w:val="es-ES"/>
        </w:rPr>
        <w:t xml:space="preserve">, I. van and ten </w:t>
      </w:r>
      <w:proofErr w:type="spellStart"/>
      <w:r w:rsidRPr="00161C1B">
        <w:rPr>
          <w:rFonts w:ascii="Times New Roman" w:hAnsi="Times New Roman" w:cs="Times New Roman"/>
          <w:sz w:val="24"/>
          <w:szCs w:val="24"/>
          <w:lang w:val="es-ES"/>
        </w:rPr>
        <w:t>Napel</w:t>
      </w:r>
      <w:proofErr w:type="spellEnd"/>
      <w:r w:rsidRPr="00161C1B">
        <w:rPr>
          <w:rFonts w:ascii="Times New Roman" w:hAnsi="Times New Roman" w:cs="Times New Roman"/>
          <w:sz w:val="24"/>
          <w:szCs w:val="24"/>
          <w:lang w:val="es-ES"/>
        </w:rPr>
        <w:t xml:space="preserve">, H-M. </w:t>
      </w:r>
      <w:r w:rsidRPr="00161C1B">
        <w:rPr>
          <w:rFonts w:ascii="Times New Roman" w:hAnsi="Times New Roman" w:cs="Times New Roman"/>
          <w:sz w:val="24"/>
          <w:szCs w:val="24"/>
          <w:lang w:val="en-GB"/>
        </w:rPr>
        <w:t>(</w:t>
      </w:r>
      <w:proofErr w:type="gramStart"/>
      <w:r w:rsidRPr="00161C1B">
        <w:rPr>
          <w:rFonts w:ascii="Times New Roman" w:hAnsi="Times New Roman" w:cs="Times New Roman"/>
          <w:sz w:val="24"/>
          <w:szCs w:val="24"/>
          <w:lang w:val="en-GB"/>
        </w:rPr>
        <w:t>eds</w:t>
      </w:r>
      <w:proofErr w:type="gramEnd"/>
      <w:r w:rsidRPr="00161C1B">
        <w:rPr>
          <w:rFonts w:ascii="Times New Roman" w:hAnsi="Times New Roman" w:cs="Times New Roman"/>
          <w:sz w:val="24"/>
          <w:szCs w:val="24"/>
          <w:lang w:val="en-GB"/>
        </w:rPr>
        <w:t>.) (</w:t>
      </w:r>
      <w:proofErr w:type="gramStart"/>
      <w:r w:rsidRPr="00161C1B">
        <w:rPr>
          <w:rFonts w:ascii="Times New Roman" w:hAnsi="Times New Roman" w:cs="Times New Roman"/>
          <w:sz w:val="24"/>
          <w:szCs w:val="24"/>
          <w:lang w:val="en-GB"/>
        </w:rPr>
        <w:t>forthcoming</w:t>
      </w:r>
      <w:proofErr w:type="gramEnd"/>
      <w:r w:rsidRPr="00161C1B">
        <w:rPr>
          <w:rFonts w:ascii="Times New Roman" w:hAnsi="Times New Roman" w:cs="Times New Roman"/>
          <w:sz w:val="24"/>
          <w:szCs w:val="24"/>
          <w:lang w:val="en-GB"/>
        </w:rPr>
        <w:t xml:space="preserve">) </w:t>
      </w:r>
      <w:r w:rsidRPr="00161C1B">
        <w:rPr>
          <w:rFonts w:ascii="Times New Roman" w:hAnsi="Times New Roman" w:cs="Times New Roman"/>
          <w:i/>
          <w:sz w:val="24"/>
          <w:szCs w:val="24"/>
          <w:lang w:val="en-GB"/>
        </w:rPr>
        <w:t>Political Parties and Public Law: The Netherlands in Comparative Perspective</w:t>
      </w:r>
      <w:r w:rsidRPr="00161C1B">
        <w:rPr>
          <w:rFonts w:ascii="Times New Roman" w:hAnsi="Times New Roman" w:cs="Times New Roman"/>
          <w:sz w:val="24"/>
          <w:szCs w:val="24"/>
          <w:lang w:val="en-GB"/>
        </w:rPr>
        <w:t>. Leiden: Leiden University Press</w:t>
      </w:r>
    </w:p>
    <w:p w:rsidR="00161C1B" w:rsidRPr="00161C1B" w:rsidRDefault="00161C1B" w:rsidP="00161C1B">
      <w:pPr>
        <w:autoSpaceDE w:val="0"/>
        <w:autoSpaceDN w:val="0"/>
        <w:adjustRightInd w:val="0"/>
        <w:spacing w:after="0" w:line="360" w:lineRule="auto"/>
        <w:jc w:val="both"/>
        <w:rPr>
          <w:rFonts w:ascii="Times New Roman" w:hAnsi="Times New Roman" w:cs="Times New Roman"/>
          <w:sz w:val="24"/>
          <w:szCs w:val="24"/>
          <w:lang w:val="en-US" w:eastAsia="en-GB"/>
        </w:rPr>
      </w:pPr>
      <w:r w:rsidRPr="00161C1B">
        <w:rPr>
          <w:rFonts w:ascii="Times New Roman" w:hAnsi="Times New Roman" w:cs="Times New Roman"/>
          <w:sz w:val="24"/>
          <w:szCs w:val="24"/>
          <w:lang w:val="en-US" w:eastAsia="en-GB"/>
        </w:rPr>
        <w:t xml:space="preserve">Bourne, A (2014a) Why Ban </w:t>
      </w:r>
      <w:proofErr w:type="spellStart"/>
      <w:r w:rsidRPr="00161C1B">
        <w:rPr>
          <w:rFonts w:ascii="Times New Roman" w:hAnsi="Times New Roman" w:cs="Times New Roman"/>
          <w:sz w:val="24"/>
          <w:szCs w:val="24"/>
          <w:lang w:val="en-US" w:eastAsia="en-GB"/>
        </w:rPr>
        <w:t>Batasuna</w:t>
      </w:r>
      <w:proofErr w:type="spellEnd"/>
      <w:r w:rsidRPr="00161C1B">
        <w:rPr>
          <w:rFonts w:ascii="Times New Roman" w:hAnsi="Times New Roman" w:cs="Times New Roman"/>
          <w:sz w:val="24"/>
          <w:szCs w:val="24"/>
          <w:lang w:val="en-US" w:eastAsia="en-GB"/>
        </w:rPr>
        <w:t xml:space="preserve">? </w:t>
      </w:r>
      <w:proofErr w:type="gramStart"/>
      <w:r w:rsidRPr="00161C1B">
        <w:rPr>
          <w:rFonts w:ascii="Times New Roman" w:hAnsi="Times New Roman" w:cs="Times New Roman"/>
          <w:sz w:val="24"/>
          <w:szCs w:val="24"/>
          <w:lang w:val="en-US" w:eastAsia="en-GB"/>
        </w:rPr>
        <w:t>Terrorism, political parties and democracy.</w:t>
      </w:r>
      <w:proofErr w:type="gramEnd"/>
      <w:r w:rsidRPr="00161C1B">
        <w:rPr>
          <w:rFonts w:ascii="Times New Roman" w:hAnsi="Times New Roman" w:cs="Times New Roman"/>
          <w:sz w:val="24"/>
          <w:szCs w:val="24"/>
          <w:lang w:val="en-US" w:eastAsia="en-GB"/>
        </w:rPr>
        <w:t xml:space="preserve"> </w:t>
      </w:r>
      <w:r w:rsidRPr="00161C1B">
        <w:rPr>
          <w:rFonts w:ascii="Times New Roman" w:hAnsi="Times New Roman" w:cs="Times New Roman"/>
          <w:i/>
          <w:sz w:val="24"/>
          <w:szCs w:val="24"/>
          <w:lang w:val="en-US" w:eastAsia="en-GB"/>
        </w:rPr>
        <w:t>Comparative European Politics</w:t>
      </w:r>
      <w:r w:rsidRPr="00161C1B">
        <w:rPr>
          <w:rFonts w:ascii="Times New Roman" w:hAnsi="Times New Roman" w:cs="Times New Roman"/>
          <w:sz w:val="24"/>
          <w:szCs w:val="24"/>
          <w:lang w:val="en-US" w:eastAsia="en-GB"/>
        </w:rPr>
        <w:t xml:space="preserve"> </w:t>
      </w:r>
    </w:p>
    <w:p w:rsidR="00161C1B" w:rsidRPr="00161C1B" w:rsidRDefault="00161C1B" w:rsidP="00161C1B">
      <w:pPr>
        <w:spacing w:after="0" w:line="360" w:lineRule="auto"/>
        <w:jc w:val="both"/>
        <w:rPr>
          <w:rFonts w:ascii="Times New Roman" w:hAnsi="Times New Roman" w:cs="Times New Roman"/>
          <w:sz w:val="24"/>
          <w:szCs w:val="24"/>
          <w:lang w:val="en-US"/>
        </w:rPr>
      </w:pPr>
      <w:proofErr w:type="gramStart"/>
      <w:r w:rsidRPr="00161C1B">
        <w:rPr>
          <w:rFonts w:ascii="Times New Roman" w:hAnsi="Times New Roman" w:cs="Times New Roman"/>
          <w:sz w:val="24"/>
          <w:szCs w:val="24"/>
          <w:lang w:val="en-US" w:eastAsia="en-GB"/>
        </w:rPr>
        <w:t xml:space="preserve">Bourne, A (2014b) </w:t>
      </w:r>
      <w:r w:rsidRPr="00161C1B">
        <w:rPr>
          <w:rFonts w:ascii="Times New Roman" w:hAnsi="Times New Roman" w:cs="Times New Roman"/>
          <w:i/>
          <w:sz w:val="24"/>
          <w:szCs w:val="24"/>
          <w:lang w:val="en-US"/>
        </w:rPr>
        <w:t>Security or tolerance?</w:t>
      </w:r>
      <w:proofErr w:type="gramEnd"/>
      <w:r w:rsidRPr="00161C1B">
        <w:rPr>
          <w:rFonts w:ascii="Times New Roman" w:hAnsi="Times New Roman" w:cs="Times New Roman"/>
          <w:i/>
          <w:sz w:val="24"/>
          <w:szCs w:val="24"/>
          <w:lang w:val="en-US"/>
        </w:rPr>
        <w:t xml:space="preserve"> The proscription of political parties in democratic states</w:t>
      </w:r>
      <w:r w:rsidRPr="00161C1B">
        <w:rPr>
          <w:rFonts w:ascii="Times New Roman" w:hAnsi="Times New Roman" w:cs="Times New Roman"/>
          <w:sz w:val="24"/>
          <w:szCs w:val="24"/>
          <w:lang w:val="en-US"/>
        </w:rPr>
        <w:t>, paper presented at ECPR joint sessions, Salamanca, April 2014.</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Bourne, A. (2012a): “Democratization and the Illegalization of Political Parties in Europe’,</w:t>
      </w:r>
      <w:r w:rsidRPr="00161C1B">
        <w:rPr>
          <w:rFonts w:ascii="Times New Roman" w:hAnsi="Times New Roman" w:cs="Times New Roman"/>
          <w:i/>
          <w:sz w:val="24"/>
          <w:szCs w:val="24"/>
          <w:lang w:val="en-US"/>
        </w:rPr>
        <w:t xml:space="preserve"> Democratization</w:t>
      </w:r>
      <w:r w:rsidRPr="00161C1B">
        <w:rPr>
          <w:rFonts w:ascii="Times New Roman" w:hAnsi="Times New Roman" w:cs="Times New Roman"/>
          <w:sz w:val="24"/>
          <w:szCs w:val="24"/>
          <w:lang w:val="en-US"/>
        </w:rPr>
        <w:t>, v. 19, n. 6, pp. 1065–1085</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Bourne, A. (2012b) “The proscription of parties and the problem with ‘militant democracy’”, </w:t>
      </w:r>
      <w:r w:rsidRPr="00161C1B">
        <w:rPr>
          <w:rFonts w:ascii="Times New Roman" w:hAnsi="Times New Roman" w:cs="Times New Roman"/>
          <w:i/>
          <w:sz w:val="24"/>
          <w:szCs w:val="24"/>
          <w:lang w:val="en-US"/>
        </w:rPr>
        <w:t>The Journal of Comparative Law</w:t>
      </w:r>
      <w:r w:rsidRPr="00161C1B">
        <w:rPr>
          <w:rFonts w:ascii="Times New Roman" w:hAnsi="Times New Roman" w:cs="Times New Roman"/>
          <w:sz w:val="24"/>
          <w:szCs w:val="24"/>
          <w:lang w:val="en-US"/>
        </w:rPr>
        <w:t>, v. 7, n. 1, pp. 196–213</w:t>
      </w:r>
    </w:p>
    <w:p w:rsidR="003C3018" w:rsidRPr="003C3018" w:rsidRDefault="003C3018" w:rsidP="003C3018">
      <w:pPr>
        <w:autoSpaceDE w:val="0"/>
        <w:autoSpaceDN w:val="0"/>
        <w:adjustRightInd w:val="0"/>
        <w:spacing w:after="0" w:line="360" w:lineRule="auto"/>
        <w:rPr>
          <w:rFonts w:ascii="Times New Roman" w:eastAsia="Times New Roman" w:hAnsi="Times New Roman" w:cs="Times New Roman"/>
          <w:sz w:val="24"/>
          <w:szCs w:val="24"/>
          <w:lang w:val="en-US"/>
        </w:rPr>
      </w:pPr>
      <w:proofErr w:type="spellStart"/>
      <w:r w:rsidRPr="003C3018">
        <w:rPr>
          <w:rFonts w:ascii="Times New Roman" w:hAnsi="Times New Roman" w:cs="Times New Roman"/>
          <w:sz w:val="24"/>
          <w:szCs w:val="24"/>
          <w:lang w:val="en-US"/>
        </w:rPr>
        <w:t>Capoccia</w:t>
      </w:r>
      <w:proofErr w:type="spellEnd"/>
      <w:r w:rsidRPr="003C3018">
        <w:rPr>
          <w:rFonts w:ascii="Times New Roman" w:hAnsi="Times New Roman" w:cs="Times New Roman"/>
          <w:sz w:val="24"/>
          <w:szCs w:val="24"/>
          <w:lang w:val="en-US"/>
        </w:rPr>
        <w:t xml:space="preserve">, G., 2001. </w:t>
      </w:r>
      <w:proofErr w:type="gramStart"/>
      <w:r w:rsidRPr="003C3018">
        <w:rPr>
          <w:rFonts w:ascii="Times New Roman" w:hAnsi="Times New Roman" w:cs="Times New Roman"/>
          <w:sz w:val="24"/>
          <w:szCs w:val="24"/>
          <w:lang w:val="en-US"/>
        </w:rPr>
        <w:t xml:space="preserve">Defending Democracy: Reactions to Political </w:t>
      </w:r>
      <w:proofErr w:type="spellStart"/>
      <w:r w:rsidRPr="003C3018">
        <w:rPr>
          <w:rFonts w:ascii="Times New Roman" w:hAnsi="Times New Roman" w:cs="Times New Roman"/>
          <w:sz w:val="24"/>
          <w:szCs w:val="24"/>
          <w:lang w:val="en-US"/>
        </w:rPr>
        <w:t>Extermism</w:t>
      </w:r>
      <w:proofErr w:type="spellEnd"/>
      <w:r w:rsidRPr="003C3018">
        <w:rPr>
          <w:rFonts w:ascii="Times New Roman" w:hAnsi="Times New Roman" w:cs="Times New Roman"/>
          <w:sz w:val="24"/>
          <w:szCs w:val="24"/>
          <w:lang w:val="en-US"/>
        </w:rPr>
        <w:t xml:space="preserve"> in interwar Europe.</w:t>
      </w:r>
      <w:proofErr w:type="gramEnd"/>
      <w:r w:rsidRPr="003C3018">
        <w:rPr>
          <w:rFonts w:ascii="Times New Roman" w:hAnsi="Times New Roman" w:cs="Times New Roman"/>
          <w:sz w:val="24"/>
          <w:szCs w:val="24"/>
          <w:lang w:val="en-US"/>
        </w:rPr>
        <w:t xml:space="preserve"> </w:t>
      </w:r>
      <w:r w:rsidRPr="003C3018">
        <w:rPr>
          <w:rFonts w:ascii="Times New Roman" w:hAnsi="Times New Roman" w:cs="Times New Roman"/>
          <w:i/>
          <w:iCs/>
          <w:sz w:val="24"/>
          <w:szCs w:val="24"/>
          <w:lang w:val="en-US"/>
        </w:rPr>
        <w:t>European Journal of Political Research</w:t>
      </w:r>
      <w:r w:rsidRPr="003C3018">
        <w:rPr>
          <w:rFonts w:ascii="Times New Roman" w:hAnsi="Times New Roman" w:cs="Times New Roman"/>
          <w:sz w:val="24"/>
          <w:szCs w:val="24"/>
          <w:lang w:val="en-US"/>
        </w:rPr>
        <w:t>, 39, pp. 431-460.</w:t>
      </w:r>
    </w:p>
    <w:p w:rsidR="00161C1B" w:rsidRPr="00161C1B" w:rsidRDefault="00161C1B" w:rsidP="00161C1B">
      <w:pPr>
        <w:autoSpaceDE w:val="0"/>
        <w:spacing w:after="0" w:line="360" w:lineRule="auto"/>
        <w:jc w:val="both"/>
        <w:rPr>
          <w:rFonts w:ascii="Times New Roman" w:hAnsi="Times New Roman" w:cs="Times New Roman"/>
          <w:i/>
          <w:sz w:val="24"/>
          <w:szCs w:val="24"/>
          <w:lang w:val="en-GB"/>
        </w:rPr>
      </w:pPr>
      <w:r w:rsidRPr="00161C1B">
        <w:rPr>
          <w:rFonts w:ascii="Times New Roman" w:eastAsia="Times New Roman" w:hAnsi="Times New Roman" w:cs="Times New Roman"/>
          <w:sz w:val="24"/>
          <w:szCs w:val="24"/>
          <w:lang w:val="en-US"/>
        </w:rPr>
        <w:t xml:space="preserve">Casal </w:t>
      </w:r>
      <w:proofErr w:type="spellStart"/>
      <w:r w:rsidRPr="00161C1B">
        <w:rPr>
          <w:rFonts w:ascii="Times New Roman" w:eastAsia="Times New Roman" w:hAnsi="Times New Roman" w:cs="Times New Roman"/>
          <w:sz w:val="24"/>
          <w:szCs w:val="24"/>
          <w:lang w:val="en-US"/>
        </w:rPr>
        <w:t>Bértoa</w:t>
      </w:r>
      <w:proofErr w:type="spellEnd"/>
      <w:r w:rsidRPr="00161C1B">
        <w:rPr>
          <w:rFonts w:ascii="Times New Roman" w:eastAsia="Times New Roman" w:hAnsi="Times New Roman" w:cs="Times New Roman"/>
          <w:sz w:val="24"/>
          <w:szCs w:val="24"/>
          <w:lang w:val="en-US"/>
        </w:rPr>
        <w:t xml:space="preserve">, F. and </w:t>
      </w:r>
      <w:proofErr w:type="spellStart"/>
      <w:r w:rsidRPr="00161C1B">
        <w:rPr>
          <w:rFonts w:ascii="Times New Roman" w:eastAsia="Times New Roman" w:hAnsi="Times New Roman" w:cs="Times New Roman"/>
          <w:sz w:val="24"/>
          <w:szCs w:val="24"/>
          <w:lang w:val="en-US"/>
        </w:rPr>
        <w:t>Biezen</w:t>
      </w:r>
      <w:proofErr w:type="spellEnd"/>
      <w:r w:rsidRPr="00161C1B">
        <w:rPr>
          <w:rFonts w:ascii="Times New Roman" w:eastAsia="Times New Roman" w:hAnsi="Times New Roman" w:cs="Times New Roman"/>
          <w:sz w:val="24"/>
          <w:szCs w:val="24"/>
          <w:lang w:val="en-US"/>
        </w:rPr>
        <w:t xml:space="preserve">, I. van (forthcoming): </w:t>
      </w:r>
      <w:r w:rsidRPr="00161C1B">
        <w:rPr>
          <w:rFonts w:ascii="Times New Roman" w:hAnsi="Times New Roman" w:cs="Times New Roman"/>
          <w:i/>
          <w:sz w:val="24"/>
          <w:szCs w:val="24"/>
          <w:lang w:val="en-GB"/>
        </w:rPr>
        <w:t>Party Regulation and Party Politics in Post-communist Europe</w:t>
      </w:r>
      <w:r w:rsidRPr="00161C1B">
        <w:rPr>
          <w:rFonts w:ascii="Times New Roman" w:hAnsi="Times New Roman" w:cs="Times New Roman"/>
          <w:sz w:val="24"/>
          <w:szCs w:val="24"/>
          <w:lang w:val="en-GB"/>
        </w:rPr>
        <w:t xml:space="preserve">, special issue in </w:t>
      </w:r>
      <w:r w:rsidRPr="00161C1B">
        <w:rPr>
          <w:rFonts w:ascii="Times New Roman" w:hAnsi="Times New Roman" w:cs="Times New Roman"/>
          <w:i/>
          <w:sz w:val="24"/>
          <w:szCs w:val="24"/>
          <w:lang w:val="en-GB"/>
        </w:rPr>
        <w:t>East European Politics</w:t>
      </w:r>
    </w:p>
    <w:p w:rsidR="00161C1B" w:rsidRPr="00161C1B" w:rsidRDefault="00161C1B" w:rsidP="00161C1B">
      <w:pPr>
        <w:autoSpaceDE w:val="0"/>
        <w:spacing w:after="0" w:line="360" w:lineRule="auto"/>
        <w:jc w:val="both"/>
        <w:rPr>
          <w:rFonts w:ascii="Times New Roman" w:hAnsi="Times New Roman" w:cs="Times New Roman"/>
          <w:sz w:val="24"/>
          <w:szCs w:val="24"/>
          <w:lang w:val="en-GB"/>
        </w:rPr>
      </w:pPr>
      <w:r w:rsidRPr="00161C1B">
        <w:rPr>
          <w:rFonts w:ascii="Times New Roman" w:eastAsia="Times New Roman" w:hAnsi="Times New Roman" w:cs="Times New Roman"/>
          <w:sz w:val="24"/>
          <w:szCs w:val="24"/>
          <w:lang w:val="en-US"/>
        </w:rPr>
        <w:t xml:space="preserve">Casal </w:t>
      </w:r>
      <w:proofErr w:type="spellStart"/>
      <w:r w:rsidRPr="00161C1B">
        <w:rPr>
          <w:rFonts w:ascii="Times New Roman" w:eastAsia="Times New Roman" w:hAnsi="Times New Roman" w:cs="Times New Roman"/>
          <w:sz w:val="24"/>
          <w:szCs w:val="24"/>
          <w:lang w:val="en-US"/>
        </w:rPr>
        <w:t>Bértoa</w:t>
      </w:r>
      <w:proofErr w:type="spellEnd"/>
      <w:r w:rsidRPr="00161C1B">
        <w:rPr>
          <w:rFonts w:ascii="Times New Roman" w:eastAsia="Times New Roman" w:hAnsi="Times New Roman" w:cs="Times New Roman"/>
          <w:sz w:val="24"/>
          <w:szCs w:val="24"/>
          <w:lang w:val="en-US"/>
        </w:rPr>
        <w:t xml:space="preserve">, F. and </w:t>
      </w:r>
      <w:proofErr w:type="spellStart"/>
      <w:r w:rsidRPr="00161C1B">
        <w:rPr>
          <w:rFonts w:ascii="Times New Roman" w:eastAsia="Times New Roman" w:hAnsi="Times New Roman" w:cs="Times New Roman"/>
          <w:sz w:val="24"/>
          <w:szCs w:val="24"/>
          <w:lang w:val="en-US"/>
        </w:rPr>
        <w:t>Walecki</w:t>
      </w:r>
      <w:proofErr w:type="spellEnd"/>
      <w:r w:rsidRPr="00161C1B">
        <w:rPr>
          <w:rFonts w:ascii="Times New Roman" w:eastAsia="Times New Roman" w:hAnsi="Times New Roman" w:cs="Times New Roman"/>
          <w:sz w:val="24"/>
          <w:szCs w:val="24"/>
          <w:lang w:val="en-US"/>
        </w:rPr>
        <w:t xml:space="preserve">, M. (forthcoming): </w:t>
      </w:r>
      <w:r w:rsidRPr="00161C1B">
        <w:rPr>
          <w:rFonts w:ascii="Times New Roman" w:hAnsi="Times New Roman" w:cs="Times New Roman"/>
          <w:sz w:val="24"/>
          <w:szCs w:val="24"/>
          <w:lang w:val="en-US"/>
        </w:rPr>
        <w:t>“</w:t>
      </w:r>
      <w:r w:rsidRPr="00161C1B">
        <w:rPr>
          <w:rFonts w:ascii="Times New Roman" w:hAnsi="Times New Roman" w:cs="Times New Roman"/>
          <w:sz w:val="24"/>
          <w:szCs w:val="24"/>
          <w:lang w:val="en-US" w:eastAsia="es-ES_tradnl"/>
        </w:rPr>
        <w:t xml:space="preserve">Regulating Polish Politics: </w:t>
      </w:r>
      <w:r w:rsidRPr="00161C1B">
        <w:rPr>
          <w:rFonts w:ascii="Times New Roman" w:hAnsi="Times New Roman" w:cs="Times New Roman"/>
          <w:sz w:val="24"/>
          <w:szCs w:val="24"/>
          <w:lang w:val="en-GB"/>
        </w:rPr>
        <w:t>‘</w:t>
      </w:r>
      <w:r w:rsidRPr="00161C1B">
        <w:rPr>
          <w:rFonts w:ascii="Times New Roman" w:hAnsi="Times New Roman" w:cs="Times New Roman"/>
          <w:sz w:val="24"/>
          <w:szCs w:val="24"/>
          <w:lang w:val="en-US" w:eastAsia="es-ES_tradnl"/>
        </w:rPr>
        <w:t>Cartel</w:t>
      </w:r>
      <w:r w:rsidRPr="00161C1B">
        <w:rPr>
          <w:rFonts w:ascii="Times New Roman" w:hAnsi="Times New Roman" w:cs="Times New Roman"/>
          <w:sz w:val="24"/>
          <w:szCs w:val="24"/>
          <w:lang w:val="en-GB"/>
        </w:rPr>
        <w:t>’</w:t>
      </w:r>
      <w:r w:rsidRPr="00161C1B">
        <w:rPr>
          <w:rFonts w:ascii="Times New Roman" w:hAnsi="Times New Roman" w:cs="Times New Roman"/>
          <w:sz w:val="24"/>
          <w:szCs w:val="24"/>
          <w:lang w:val="en-US" w:eastAsia="es-ES_tradnl"/>
        </w:rPr>
        <w:t xml:space="preserve"> Parties in a Non-Collusive Party System</w:t>
      </w:r>
      <w:r w:rsidRPr="00161C1B">
        <w:rPr>
          <w:rFonts w:ascii="Times New Roman" w:hAnsi="Times New Roman" w:cs="Times New Roman"/>
          <w:sz w:val="24"/>
          <w:szCs w:val="24"/>
          <w:lang w:val="en-US"/>
        </w:rPr>
        <w:t xml:space="preserve">”, </w:t>
      </w:r>
      <w:r w:rsidRPr="00161C1B">
        <w:rPr>
          <w:rFonts w:ascii="Times New Roman" w:hAnsi="Times New Roman" w:cs="Times New Roman"/>
          <w:i/>
          <w:sz w:val="24"/>
          <w:szCs w:val="24"/>
          <w:lang w:val="en-GB"/>
        </w:rPr>
        <w:t>East European Politics</w:t>
      </w:r>
    </w:p>
    <w:p w:rsidR="00161C1B" w:rsidRPr="00161C1B" w:rsidRDefault="00161C1B" w:rsidP="00161C1B">
      <w:pPr>
        <w:autoSpaceDE w:val="0"/>
        <w:spacing w:after="0" w:line="360" w:lineRule="auto"/>
        <w:jc w:val="both"/>
        <w:rPr>
          <w:rFonts w:ascii="Times New Roman" w:hAnsi="Times New Roman" w:cs="Times New Roman"/>
          <w:sz w:val="24"/>
          <w:szCs w:val="24"/>
          <w:lang w:val="en-GB"/>
        </w:rPr>
      </w:pPr>
      <w:r w:rsidRPr="00161C1B">
        <w:rPr>
          <w:rFonts w:ascii="Times New Roman" w:hAnsi="Times New Roman" w:cs="Times New Roman"/>
          <w:sz w:val="24"/>
          <w:szCs w:val="24"/>
          <w:lang w:val="en-GB"/>
        </w:rPr>
        <w:t xml:space="preserve">Casal </w:t>
      </w:r>
      <w:proofErr w:type="spellStart"/>
      <w:r w:rsidRPr="00161C1B">
        <w:rPr>
          <w:rFonts w:ascii="Times New Roman" w:hAnsi="Times New Roman" w:cs="Times New Roman"/>
          <w:sz w:val="24"/>
          <w:szCs w:val="24"/>
          <w:lang w:val="en-GB"/>
        </w:rPr>
        <w:t>Bértoa</w:t>
      </w:r>
      <w:proofErr w:type="spellEnd"/>
      <w:r w:rsidRPr="00161C1B">
        <w:rPr>
          <w:rFonts w:ascii="Times New Roman" w:hAnsi="Times New Roman" w:cs="Times New Roman"/>
          <w:sz w:val="24"/>
          <w:szCs w:val="24"/>
          <w:lang w:val="en-GB"/>
        </w:rPr>
        <w:t xml:space="preserve">, F., Deegan-Krause, K. and </w:t>
      </w:r>
      <w:proofErr w:type="spellStart"/>
      <w:r w:rsidRPr="00161C1B">
        <w:rPr>
          <w:rFonts w:ascii="Times New Roman" w:hAnsi="Times New Roman" w:cs="Times New Roman"/>
          <w:sz w:val="24"/>
          <w:szCs w:val="24"/>
          <w:lang w:val="en-GB"/>
        </w:rPr>
        <w:t>Ucen</w:t>
      </w:r>
      <w:proofErr w:type="spellEnd"/>
      <w:r w:rsidRPr="00161C1B">
        <w:rPr>
          <w:rFonts w:ascii="Times New Roman" w:hAnsi="Times New Roman" w:cs="Times New Roman"/>
          <w:sz w:val="24"/>
          <w:szCs w:val="24"/>
          <w:lang w:val="en-GB"/>
        </w:rPr>
        <w:t xml:space="preserve">, P. (forthcoming): </w:t>
      </w:r>
      <w:r w:rsidRPr="00161C1B">
        <w:rPr>
          <w:rFonts w:ascii="Times New Roman" w:hAnsi="Times New Roman" w:cs="Times New Roman"/>
          <w:sz w:val="24"/>
          <w:szCs w:val="24"/>
          <w:lang w:val="en-US"/>
        </w:rPr>
        <w:t xml:space="preserve">“The Limits of Regulation: Party Law and Finance in Slovakia (1990-2012)”, </w:t>
      </w:r>
      <w:r w:rsidRPr="00161C1B">
        <w:rPr>
          <w:rFonts w:ascii="Times New Roman" w:hAnsi="Times New Roman" w:cs="Times New Roman"/>
          <w:i/>
          <w:sz w:val="24"/>
          <w:szCs w:val="24"/>
          <w:lang w:val="en-GB"/>
        </w:rPr>
        <w:t>East European Politics</w:t>
      </w:r>
    </w:p>
    <w:p w:rsidR="00161C1B" w:rsidRPr="00161C1B" w:rsidRDefault="00161C1B" w:rsidP="00161C1B">
      <w:pPr>
        <w:autoSpaceDE w:val="0"/>
        <w:spacing w:after="0" w:line="360" w:lineRule="auto"/>
        <w:jc w:val="both"/>
        <w:rPr>
          <w:rFonts w:ascii="Times New Roman" w:hAnsi="Times New Roman" w:cs="Times New Roman"/>
          <w:i/>
          <w:sz w:val="24"/>
          <w:szCs w:val="24"/>
          <w:lang w:val="en-GB"/>
        </w:rPr>
      </w:pPr>
      <w:r w:rsidRPr="00161C1B">
        <w:rPr>
          <w:rFonts w:ascii="Times New Roman" w:hAnsi="Times New Roman" w:cs="Times New Roman"/>
          <w:sz w:val="24"/>
          <w:szCs w:val="24"/>
          <w:lang w:val="en-GB"/>
        </w:rPr>
        <w:lastRenderedPageBreak/>
        <w:t xml:space="preserve">Casal </w:t>
      </w:r>
      <w:proofErr w:type="spellStart"/>
      <w:r w:rsidRPr="00161C1B">
        <w:rPr>
          <w:rFonts w:ascii="Times New Roman" w:hAnsi="Times New Roman" w:cs="Times New Roman"/>
          <w:sz w:val="24"/>
          <w:szCs w:val="24"/>
          <w:lang w:val="en-GB"/>
        </w:rPr>
        <w:t>Bértoa</w:t>
      </w:r>
      <w:proofErr w:type="spellEnd"/>
      <w:r w:rsidRPr="00161C1B">
        <w:rPr>
          <w:rFonts w:ascii="Times New Roman" w:hAnsi="Times New Roman" w:cs="Times New Roman"/>
          <w:sz w:val="24"/>
          <w:szCs w:val="24"/>
          <w:lang w:val="en-GB"/>
        </w:rPr>
        <w:t xml:space="preserve">, F., </w:t>
      </w:r>
      <w:proofErr w:type="spellStart"/>
      <w:r w:rsidRPr="00161C1B">
        <w:rPr>
          <w:rFonts w:ascii="Times New Roman" w:hAnsi="Times New Roman" w:cs="Times New Roman"/>
          <w:sz w:val="24"/>
          <w:szCs w:val="24"/>
          <w:lang w:val="en-GB"/>
        </w:rPr>
        <w:t>Piccio</w:t>
      </w:r>
      <w:proofErr w:type="spellEnd"/>
      <w:r w:rsidRPr="00161C1B">
        <w:rPr>
          <w:rFonts w:ascii="Times New Roman" w:hAnsi="Times New Roman" w:cs="Times New Roman"/>
          <w:sz w:val="24"/>
          <w:szCs w:val="24"/>
          <w:lang w:val="en-GB"/>
        </w:rPr>
        <w:t xml:space="preserve">, D.R. and </w:t>
      </w:r>
      <w:proofErr w:type="spellStart"/>
      <w:r w:rsidRPr="00161C1B">
        <w:rPr>
          <w:rFonts w:ascii="Times New Roman" w:hAnsi="Times New Roman" w:cs="Times New Roman"/>
          <w:sz w:val="24"/>
          <w:szCs w:val="24"/>
          <w:lang w:val="en-GB"/>
        </w:rPr>
        <w:t>Rashkova</w:t>
      </w:r>
      <w:proofErr w:type="spellEnd"/>
      <w:r w:rsidRPr="00161C1B">
        <w:rPr>
          <w:rFonts w:ascii="Times New Roman" w:hAnsi="Times New Roman" w:cs="Times New Roman"/>
          <w:sz w:val="24"/>
          <w:szCs w:val="24"/>
          <w:lang w:val="en-GB"/>
        </w:rPr>
        <w:t xml:space="preserve">, E.R. (2014a): “Party Laws in Comparative Perspective: Evidence and Implications”, in Ingrid van </w:t>
      </w:r>
      <w:proofErr w:type="spellStart"/>
      <w:r w:rsidRPr="00161C1B">
        <w:rPr>
          <w:rFonts w:ascii="Times New Roman" w:hAnsi="Times New Roman" w:cs="Times New Roman"/>
          <w:sz w:val="24"/>
          <w:szCs w:val="24"/>
          <w:lang w:val="en-GB"/>
        </w:rPr>
        <w:t>Biezen</w:t>
      </w:r>
      <w:proofErr w:type="spellEnd"/>
      <w:r w:rsidRPr="00161C1B">
        <w:rPr>
          <w:rFonts w:ascii="Times New Roman" w:hAnsi="Times New Roman" w:cs="Times New Roman"/>
          <w:sz w:val="24"/>
          <w:szCs w:val="24"/>
          <w:lang w:val="en-GB"/>
        </w:rPr>
        <w:t xml:space="preserve"> and Hans-</w:t>
      </w:r>
      <w:proofErr w:type="spellStart"/>
      <w:r w:rsidRPr="00161C1B">
        <w:rPr>
          <w:rFonts w:ascii="Times New Roman" w:hAnsi="Times New Roman" w:cs="Times New Roman"/>
          <w:sz w:val="24"/>
          <w:szCs w:val="24"/>
          <w:lang w:val="en-GB"/>
        </w:rPr>
        <w:t>Martien</w:t>
      </w:r>
      <w:proofErr w:type="spellEnd"/>
      <w:r w:rsidRPr="00161C1B">
        <w:rPr>
          <w:rFonts w:ascii="Times New Roman" w:hAnsi="Times New Roman" w:cs="Times New Roman"/>
          <w:sz w:val="24"/>
          <w:szCs w:val="24"/>
          <w:lang w:val="en-GB"/>
        </w:rPr>
        <w:t xml:space="preserve"> ten </w:t>
      </w:r>
      <w:proofErr w:type="spellStart"/>
      <w:r w:rsidRPr="00161C1B">
        <w:rPr>
          <w:rFonts w:ascii="Times New Roman" w:hAnsi="Times New Roman" w:cs="Times New Roman"/>
          <w:sz w:val="24"/>
          <w:szCs w:val="24"/>
          <w:lang w:val="en-GB"/>
        </w:rPr>
        <w:t>Napel</w:t>
      </w:r>
      <w:proofErr w:type="spellEnd"/>
      <w:r w:rsidRPr="00161C1B">
        <w:rPr>
          <w:rFonts w:ascii="Times New Roman" w:hAnsi="Times New Roman" w:cs="Times New Roman"/>
          <w:sz w:val="24"/>
          <w:szCs w:val="24"/>
          <w:lang w:val="en-GB"/>
        </w:rPr>
        <w:t xml:space="preserve"> (eds.) </w:t>
      </w:r>
      <w:r w:rsidRPr="00161C1B">
        <w:rPr>
          <w:rFonts w:ascii="Times New Roman" w:hAnsi="Times New Roman" w:cs="Times New Roman"/>
          <w:i/>
          <w:sz w:val="24"/>
          <w:szCs w:val="24"/>
          <w:lang w:val="en-GB"/>
        </w:rPr>
        <w:t>Political Parties and Public Law: The Netherlands in Comparative Perspective</w:t>
      </w:r>
      <w:r w:rsidRPr="00161C1B">
        <w:rPr>
          <w:rFonts w:ascii="Times New Roman" w:hAnsi="Times New Roman" w:cs="Times New Roman"/>
          <w:sz w:val="24"/>
          <w:szCs w:val="24"/>
          <w:lang w:val="en-GB"/>
        </w:rPr>
        <w:t>. Leiden: Leiden University Press</w:t>
      </w:r>
    </w:p>
    <w:p w:rsidR="00161C1B" w:rsidRPr="00161C1B" w:rsidRDefault="00161C1B" w:rsidP="00161C1B">
      <w:pPr>
        <w:autoSpaceDE w:val="0"/>
        <w:spacing w:after="0" w:line="360" w:lineRule="auto"/>
        <w:jc w:val="both"/>
        <w:rPr>
          <w:rFonts w:ascii="Times New Roman" w:hAnsi="Times New Roman" w:cs="Times New Roman"/>
          <w:i/>
          <w:sz w:val="24"/>
          <w:szCs w:val="24"/>
          <w:lang w:val="en-GB"/>
        </w:rPr>
      </w:pPr>
      <w:r w:rsidRPr="00161C1B">
        <w:rPr>
          <w:rFonts w:ascii="Times New Roman" w:hAnsi="Times New Roman" w:cs="Times New Roman"/>
          <w:sz w:val="24"/>
          <w:szCs w:val="24"/>
          <w:lang w:val="en-US"/>
        </w:rPr>
        <w:t xml:space="preserve">Casal </w:t>
      </w:r>
      <w:proofErr w:type="spellStart"/>
      <w:r w:rsidRPr="00161C1B">
        <w:rPr>
          <w:rFonts w:ascii="Times New Roman" w:hAnsi="Times New Roman" w:cs="Times New Roman"/>
          <w:sz w:val="24"/>
          <w:szCs w:val="24"/>
          <w:lang w:val="en-US"/>
        </w:rPr>
        <w:t>Bértoa</w:t>
      </w:r>
      <w:proofErr w:type="spellEnd"/>
      <w:r w:rsidRPr="00161C1B">
        <w:rPr>
          <w:rFonts w:ascii="Times New Roman" w:hAnsi="Times New Roman" w:cs="Times New Roman"/>
          <w:sz w:val="24"/>
          <w:szCs w:val="24"/>
          <w:lang w:val="en-US"/>
        </w:rPr>
        <w:t xml:space="preserve">, F., Rodríguez </w:t>
      </w:r>
      <w:proofErr w:type="spellStart"/>
      <w:r w:rsidRPr="00161C1B">
        <w:rPr>
          <w:rFonts w:ascii="Times New Roman" w:hAnsi="Times New Roman" w:cs="Times New Roman"/>
          <w:sz w:val="24"/>
          <w:szCs w:val="24"/>
          <w:lang w:val="en-US"/>
        </w:rPr>
        <w:t>Teruel</w:t>
      </w:r>
      <w:proofErr w:type="spellEnd"/>
      <w:r w:rsidRPr="00161C1B">
        <w:rPr>
          <w:rFonts w:ascii="Times New Roman" w:hAnsi="Times New Roman" w:cs="Times New Roman"/>
          <w:sz w:val="24"/>
          <w:szCs w:val="24"/>
          <w:lang w:val="en-US"/>
        </w:rPr>
        <w:t xml:space="preserve">, J., </w:t>
      </w:r>
      <w:proofErr w:type="spellStart"/>
      <w:r w:rsidRPr="00161C1B">
        <w:rPr>
          <w:rFonts w:ascii="Times New Roman" w:hAnsi="Times New Roman" w:cs="Times New Roman"/>
          <w:sz w:val="24"/>
          <w:szCs w:val="24"/>
          <w:lang w:val="en-US"/>
        </w:rPr>
        <w:t>Barberá</w:t>
      </w:r>
      <w:proofErr w:type="spellEnd"/>
      <w:r w:rsidRPr="00161C1B">
        <w:rPr>
          <w:rFonts w:ascii="Times New Roman" w:hAnsi="Times New Roman" w:cs="Times New Roman"/>
          <w:sz w:val="24"/>
          <w:szCs w:val="24"/>
          <w:lang w:val="en-US"/>
        </w:rPr>
        <w:t xml:space="preserve">, O. and Barrio, A. (2014b): </w:t>
      </w:r>
      <w:r w:rsidRPr="00161C1B">
        <w:rPr>
          <w:rFonts w:ascii="Times New Roman" w:hAnsi="Times New Roman" w:cs="Times New Roman"/>
          <w:sz w:val="24"/>
          <w:szCs w:val="24"/>
          <w:lang w:val="en-GB"/>
        </w:rPr>
        <w:t xml:space="preserve">“The Carrot and the Stick: Party Regulation and Politics in Democratic Spain”, </w:t>
      </w:r>
      <w:r w:rsidRPr="00161C1B">
        <w:rPr>
          <w:rFonts w:ascii="Times New Roman" w:hAnsi="Times New Roman" w:cs="Times New Roman"/>
          <w:i/>
          <w:sz w:val="24"/>
          <w:szCs w:val="24"/>
          <w:lang w:val="en-GB"/>
        </w:rPr>
        <w:t>South European Society and Politics</w:t>
      </w:r>
    </w:p>
    <w:p w:rsidR="00161C1B" w:rsidRPr="00161C1B" w:rsidRDefault="00161C1B" w:rsidP="00161C1B">
      <w:pPr>
        <w:autoSpaceDE w:val="0"/>
        <w:spacing w:after="0" w:line="360" w:lineRule="auto"/>
        <w:jc w:val="both"/>
        <w:rPr>
          <w:rFonts w:ascii="Times New Roman" w:hAnsi="Times New Roman" w:cs="Times New Roman"/>
          <w:sz w:val="24"/>
          <w:szCs w:val="24"/>
          <w:lang w:val="en-GB"/>
        </w:rPr>
      </w:pPr>
      <w:r w:rsidRPr="00161C1B">
        <w:rPr>
          <w:rFonts w:ascii="Times New Roman" w:hAnsi="Times New Roman" w:cs="Times New Roman"/>
          <w:sz w:val="24"/>
          <w:szCs w:val="24"/>
          <w:lang w:val="en-US"/>
        </w:rPr>
        <w:t xml:space="preserve">Casal </w:t>
      </w:r>
      <w:proofErr w:type="spellStart"/>
      <w:r w:rsidRPr="00161C1B">
        <w:rPr>
          <w:rFonts w:ascii="Times New Roman" w:hAnsi="Times New Roman" w:cs="Times New Roman"/>
          <w:sz w:val="24"/>
          <w:szCs w:val="24"/>
          <w:lang w:val="en-US"/>
        </w:rPr>
        <w:t>Bértoa</w:t>
      </w:r>
      <w:proofErr w:type="spellEnd"/>
      <w:r w:rsidRPr="00161C1B">
        <w:rPr>
          <w:rFonts w:ascii="Times New Roman" w:hAnsi="Times New Roman" w:cs="Times New Roman"/>
          <w:sz w:val="24"/>
          <w:szCs w:val="24"/>
          <w:lang w:val="en-US"/>
        </w:rPr>
        <w:t xml:space="preserve">, F. and </w:t>
      </w:r>
      <w:proofErr w:type="spellStart"/>
      <w:r w:rsidRPr="00161C1B">
        <w:rPr>
          <w:rFonts w:ascii="Times New Roman" w:hAnsi="Times New Roman" w:cs="Times New Roman"/>
          <w:sz w:val="24"/>
          <w:szCs w:val="24"/>
          <w:lang w:val="en-US"/>
        </w:rPr>
        <w:t>Spirova</w:t>
      </w:r>
      <w:proofErr w:type="spellEnd"/>
      <w:r w:rsidRPr="00161C1B">
        <w:rPr>
          <w:rFonts w:ascii="Times New Roman" w:hAnsi="Times New Roman" w:cs="Times New Roman"/>
          <w:sz w:val="24"/>
          <w:szCs w:val="24"/>
          <w:lang w:val="en-US"/>
        </w:rPr>
        <w:t>, M. (2013) “Get a Subsidy or Perish! Party Funding and Party Survival in Europe”</w:t>
      </w:r>
      <w:r w:rsidRPr="00161C1B">
        <w:rPr>
          <w:rFonts w:ascii="Times New Roman" w:hAnsi="Times New Roman" w:cs="Times New Roman"/>
          <w:sz w:val="24"/>
          <w:szCs w:val="24"/>
          <w:lang w:val="en-GB"/>
        </w:rPr>
        <w:t xml:space="preserve">, </w:t>
      </w:r>
      <w:proofErr w:type="gramStart"/>
      <w:r w:rsidRPr="00161C1B">
        <w:rPr>
          <w:rFonts w:ascii="Times New Roman" w:hAnsi="Times New Roman" w:cs="Times New Roman"/>
          <w:i/>
          <w:sz w:val="24"/>
          <w:szCs w:val="24"/>
          <w:lang w:val="en-GB"/>
        </w:rPr>
        <w:t>The</w:t>
      </w:r>
      <w:proofErr w:type="gramEnd"/>
      <w:r w:rsidRPr="00161C1B">
        <w:rPr>
          <w:rFonts w:ascii="Times New Roman" w:hAnsi="Times New Roman" w:cs="Times New Roman"/>
          <w:i/>
          <w:sz w:val="24"/>
          <w:szCs w:val="24"/>
          <w:lang w:val="en-GB"/>
        </w:rPr>
        <w:t xml:space="preserve"> Legal Regulation of Political Parties Working Paper Series</w:t>
      </w:r>
      <w:r w:rsidRPr="00161C1B">
        <w:rPr>
          <w:rFonts w:ascii="Times New Roman" w:hAnsi="Times New Roman" w:cs="Times New Roman"/>
          <w:sz w:val="24"/>
          <w:szCs w:val="24"/>
          <w:lang w:val="en-GB"/>
        </w:rPr>
        <w:t xml:space="preserve"> (n. 29)</w:t>
      </w:r>
    </w:p>
    <w:p w:rsidR="00161C1B" w:rsidRPr="00161C1B" w:rsidRDefault="00161C1B" w:rsidP="00161C1B">
      <w:pPr>
        <w:spacing w:after="0" w:line="360" w:lineRule="auto"/>
        <w:jc w:val="both"/>
        <w:rPr>
          <w:rFonts w:ascii="Times New Roman" w:hAnsi="Times New Roman" w:cs="Times New Roman"/>
          <w:sz w:val="24"/>
          <w:szCs w:val="24"/>
          <w:lang w:val="en-US" w:eastAsia="es-ES_tradnl"/>
        </w:rPr>
      </w:pPr>
      <w:r w:rsidRPr="00161C1B">
        <w:rPr>
          <w:rFonts w:ascii="Times New Roman" w:hAnsi="Times New Roman" w:cs="Times New Roman"/>
          <w:sz w:val="24"/>
          <w:szCs w:val="24"/>
          <w:lang w:val="en-US"/>
        </w:rPr>
        <w:t xml:space="preserve">Casal </w:t>
      </w:r>
      <w:proofErr w:type="spellStart"/>
      <w:r w:rsidRPr="00161C1B">
        <w:rPr>
          <w:rFonts w:ascii="Times New Roman" w:hAnsi="Times New Roman" w:cs="Times New Roman"/>
          <w:sz w:val="24"/>
          <w:szCs w:val="24"/>
          <w:lang w:val="en-US"/>
        </w:rPr>
        <w:t>Bértoa</w:t>
      </w:r>
      <w:proofErr w:type="spellEnd"/>
      <w:r w:rsidRPr="00161C1B">
        <w:rPr>
          <w:rFonts w:ascii="Times New Roman" w:hAnsi="Times New Roman" w:cs="Times New Roman"/>
          <w:sz w:val="24"/>
          <w:szCs w:val="24"/>
          <w:lang w:val="en-US"/>
        </w:rPr>
        <w:t xml:space="preserve">, F. (2012): </w:t>
      </w:r>
      <w:r w:rsidRPr="00161C1B">
        <w:rPr>
          <w:rFonts w:ascii="Times New Roman" w:hAnsi="Times New Roman" w:cs="Times New Roman"/>
          <w:sz w:val="24"/>
          <w:szCs w:val="24"/>
          <w:lang w:val="en-US" w:eastAsia="es-ES_tradnl"/>
        </w:rPr>
        <w:t xml:space="preserve">“Parties, Regime and Cleavages: Explaining Party System Institutionalization in East Central Europe”, </w:t>
      </w:r>
      <w:r w:rsidRPr="00161C1B">
        <w:rPr>
          <w:rFonts w:ascii="Times New Roman" w:hAnsi="Times New Roman" w:cs="Times New Roman"/>
          <w:i/>
          <w:sz w:val="24"/>
          <w:szCs w:val="24"/>
          <w:lang w:val="en-US" w:eastAsia="es-ES_tradnl"/>
        </w:rPr>
        <w:t>East European Politics</w:t>
      </w:r>
      <w:r w:rsidRPr="00161C1B">
        <w:rPr>
          <w:rFonts w:ascii="Times New Roman" w:hAnsi="Times New Roman" w:cs="Times New Roman"/>
          <w:sz w:val="24"/>
          <w:szCs w:val="24"/>
          <w:lang w:val="en-US" w:eastAsia="es-ES_tradnl"/>
        </w:rPr>
        <w:t>, v. 28, n. 4, pp. 452-472</w:t>
      </w:r>
    </w:p>
    <w:p w:rsidR="00161C1B" w:rsidRPr="007C17D0" w:rsidRDefault="00161C1B" w:rsidP="00161C1B">
      <w:pPr>
        <w:autoSpaceDE w:val="0"/>
        <w:autoSpaceDN w:val="0"/>
        <w:adjustRightInd w:val="0"/>
        <w:spacing w:after="0" w:line="360" w:lineRule="auto"/>
        <w:jc w:val="both"/>
        <w:rPr>
          <w:rFonts w:ascii="Times New Roman" w:hAnsi="Times New Roman" w:cs="Times New Roman"/>
          <w:sz w:val="24"/>
          <w:szCs w:val="24"/>
          <w:lang w:val="es-ES" w:eastAsia="en-GB"/>
        </w:rPr>
      </w:pPr>
      <w:r w:rsidRPr="007C17D0">
        <w:rPr>
          <w:rFonts w:ascii="Times New Roman" w:hAnsi="Times New Roman" w:cs="Times New Roman"/>
          <w:sz w:val="24"/>
          <w:szCs w:val="24"/>
          <w:lang w:val="es-ES" w:eastAsia="en-GB"/>
        </w:rPr>
        <w:t xml:space="preserve">Council of </w:t>
      </w:r>
      <w:proofErr w:type="spellStart"/>
      <w:r w:rsidRPr="007C17D0">
        <w:rPr>
          <w:rFonts w:ascii="Times New Roman" w:hAnsi="Times New Roman" w:cs="Times New Roman"/>
          <w:sz w:val="24"/>
          <w:szCs w:val="24"/>
          <w:lang w:val="es-ES" w:eastAsia="en-GB"/>
        </w:rPr>
        <w:t>Europe</w:t>
      </w:r>
      <w:proofErr w:type="spellEnd"/>
      <w:r w:rsidRPr="007C17D0">
        <w:rPr>
          <w:rFonts w:ascii="Times New Roman" w:hAnsi="Times New Roman" w:cs="Times New Roman"/>
          <w:sz w:val="24"/>
          <w:szCs w:val="24"/>
          <w:lang w:val="es-ES" w:eastAsia="en-GB"/>
        </w:rPr>
        <w:t xml:space="preserve"> (1998) </w:t>
      </w:r>
      <w:proofErr w:type="spellStart"/>
      <w:r w:rsidRPr="007C17D0">
        <w:rPr>
          <w:rFonts w:ascii="Times New Roman" w:hAnsi="Times New Roman" w:cs="Times New Roman"/>
          <w:sz w:val="24"/>
          <w:szCs w:val="24"/>
          <w:lang w:val="es-ES" w:eastAsia="en-GB"/>
        </w:rPr>
        <w:t>Reponses</w:t>
      </w:r>
      <w:proofErr w:type="spellEnd"/>
      <w:r w:rsidRPr="007C17D0">
        <w:rPr>
          <w:rFonts w:ascii="Times New Roman" w:hAnsi="Times New Roman" w:cs="Times New Roman"/>
          <w:sz w:val="24"/>
          <w:szCs w:val="24"/>
          <w:lang w:val="es-ES" w:eastAsia="en-GB"/>
        </w:rPr>
        <w:t xml:space="preserve"> </w:t>
      </w:r>
      <w:proofErr w:type="spellStart"/>
      <w:r w:rsidRPr="007C17D0">
        <w:rPr>
          <w:rFonts w:ascii="Times New Roman" w:hAnsi="Times New Roman" w:cs="Times New Roman"/>
          <w:sz w:val="24"/>
          <w:szCs w:val="24"/>
          <w:lang w:val="es-ES" w:eastAsia="en-GB"/>
        </w:rPr>
        <w:t>au</w:t>
      </w:r>
      <w:proofErr w:type="spellEnd"/>
      <w:r w:rsidRPr="007C17D0">
        <w:rPr>
          <w:rFonts w:ascii="Times New Roman" w:hAnsi="Times New Roman" w:cs="Times New Roman"/>
          <w:sz w:val="24"/>
          <w:szCs w:val="24"/>
          <w:lang w:val="es-ES" w:eastAsia="en-GB"/>
        </w:rPr>
        <w:t xml:space="preserve"> </w:t>
      </w:r>
      <w:proofErr w:type="spellStart"/>
      <w:r w:rsidRPr="007C17D0">
        <w:rPr>
          <w:rFonts w:ascii="Times New Roman" w:hAnsi="Times New Roman" w:cs="Times New Roman"/>
          <w:sz w:val="24"/>
          <w:szCs w:val="24"/>
          <w:lang w:val="es-ES" w:eastAsia="en-GB"/>
        </w:rPr>
        <w:t>Questionnaire</w:t>
      </w:r>
      <w:proofErr w:type="spellEnd"/>
      <w:r w:rsidRPr="007C17D0">
        <w:rPr>
          <w:rFonts w:ascii="Times New Roman" w:hAnsi="Times New Roman" w:cs="Times New Roman"/>
          <w:sz w:val="24"/>
          <w:szCs w:val="24"/>
          <w:lang w:val="es-ES" w:eastAsia="en-GB"/>
        </w:rPr>
        <w:t xml:space="preserve"> sur </w:t>
      </w:r>
      <w:proofErr w:type="spellStart"/>
      <w:r w:rsidRPr="007C17D0">
        <w:rPr>
          <w:rFonts w:ascii="Times New Roman" w:hAnsi="Times New Roman" w:cs="Times New Roman"/>
          <w:sz w:val="24"/>
          <w:szCs w:val="24"/>
          <w:lang w:val="es-ES" w:eastAsia="en-GB"/>
        </w:rPr>
        <w:t>L’interdiction</w:t>
      </w:r>
      <w:proofErr w:type="spellEnd"/>
      <w:r w:rsidRPr="007C17D0">
        <w:rPr>
          <w:rFonts w:ascii="Times New Roman" w:hAnsi="Times New Roman" w:cs="Times New Roman"/>
          <w:sz w:val="24"/>
          <w:szCs w:val="24"/>
          <w:lang w:val="es-ES" w:eastAsia="en-GB"/>
        </w:rPr>
        <w:t xml:space="preserve"> des </w:t>
      </w:r>
      <w:proofErr w:type="spellStart"/>
      <w:r w:rsidRPr="007C17D0">
        <w:rPr>
          <w:rFonts w:ascii="Times New Roman" w:hAnsi="Times New Roman" w:cs="Times New Roman"/>
          <w:sz w:val="24"/>
          <w:szCs w:val="24"/>
          <w:lang w:val="es-ES" w:eastAsia="en-GB"/>
        </w:rPr>
        <w:t>partis</w:t>
      </w:r>
      <w:proofErr w:type="spellEnd"/>
      <w:r w:rsidRPr="007C17D0">
        <w:rPr>
          <w:rFonts w:ascii="Times New Roman" w:hAnsi="Times New Roman" w:cs="Times New Roman"/>
          <w:sz w:val="24"/>
          <w:szCs w:val="24"/>
          <w:lang w:val="es-ES" w:eastAsia="en-GB"/>
        </w:rPr>
        <w:t xml:space="preserve"> </w:t>
      </w:r>
      <w:proofErr w:type="spellStart"/>
      <w:r w:rsidRPr="007C17D0">
        <w:rPr>
          <w:rFonts w:ascii="Times New Roman" w:hAnsi="Times New Roman" w:cs="Times New Roman"/>
          <w:sz w:val="24"/>
          <w:szCs w:val="24"/>
          <w:lang w:val="es-ES" w:eastAsia="en-GB"/>
        </w:rPr>
        <w:t>politiques</w:t>
      </w:r>
      <w:proofErr w:type="spellEnd"/>
      <w:r w:rsidRPr="007C17D0">
        <w:rPr>
          <w:rFonts w:ascii="Times New Roman" w:hAnsi="Times New Roman" w:cs="Times New Roman"/>
          <w:sz w:val="24"/>
          <w:szCs w:val="24"/>
          <w:lang w:val="es-ES" w:eastAsia="en-GB"/>
        </w:rPr>
        <w:t xml:space="preserve"> et les mesures </w:t>
      </w:r>
      <w:proofErr w:type="spellStart"/>
      <w:r w:rsidRPr="007C17D0">
        <w:rPr>
          <w:rFonts w:ascii="Times New Roman" w:hAnsi="Times New Roman" w:cs="Times New Roman"/>
          <w:sz w:val="24"/>
          <w:szCs w:val="24"/>
          <w:lang w:val="es-ES" w:eastAsia="en-GB"/>
        </w:rPr>
        <w:t>analogues</w:t>
      </w:r>
      <w:proofErr w:type="spellEnd"/>
      <w:r w:rsidRPr="007C17D0">
        <w:rPr>
          <w:rFonts w:ascii="Times New Roman" w:hAnsi="Times New Roman" w:cs="Times New Roman"/>
          <w:sz w:val="24"/>
          <w:szCs w:val="24"/>
          <w:lang w:val="es-ES" w:eastAsia="en-GB"/>
        </w:rPr>
        <w:t xml:space="preserve">, </w:t>
      </w:r>
      <w:proofErr w:type="spellStart"/>
      <w:r w:rsidRPr="007C17D0">
        <w:rPr>
          <w:rFonts w:ascii="Times New Roman" w:hAnsi="Times New Roman" w:cs="Times New Roman"/>
          <w:sz w:val="24"/>
          <w:szCs w:val="24"/>
          <w:lang w:val="es-ES" w:eastAsia="en-GB"/>
        </w:rPr>
        <w:t>Strasbourg</w:t>
      </w:r>
      <w:proofErr w:type="spellEnd"/>
      <w:r w:rsidRPr="007C17D0">
        <w:rPr>
          <w:rFonts w:ascii="Times New Roman" w:hAnsi="Times New Roman" w:cs="Times New Roman"/>
          <w:sz w:val="24"/>
          <w:szCs w:val="24"/>
          <w:lang w:val="es-ES" w:eastAsia="en-GB"/>
        </w:rPr>
        <w:t>, 5 June, CDL-PP (98) 2.</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s-ES"/>
        </w:rPr>
        <w:t>Corcuera, J.</w:t>
      </w:r>
      <w:r w:rsidRPr="00161C1B">
        <w:rPr>
          <w:rFonts w:ascii="Times New Roman" w:hAnsi="Times New Roman" w:cs="Times New Roman"/>
          <w:i/>
          <w:sz w:val="24"/>
          <w:szCs w:val="24"/>
          <w:lang w:val="es-ES"/>
        </w:rPr>
        <w:t xml:space="preserve">, </w:t>
      </w:r>
      <w:r w:rsidRPr="00161C1B">
        <w:rPr>
          <w:rFonts w:ascii="Times New Roman" w:hAnsi="Times New Roman" w:cs="Times New Roman"/>
          <w:sz w:val="24"/>
          <w:szCs w:val="24"/>
          <w:lang w:val="es-ES"/>
        </w:rPr>
        <w:t xml:space="preserve">J. Tajadura, E. </w:t>
      </w:r>
      <w:proofErr w:type="spellStart"/>
      <w:r w:rsidRPr="00161C1B">
        <w:rPr>
          <w:rFonts w:ascii="Times New Roman" w:hAnsi="Times New Roman" w:cs="Times New Roman"/>
          <w:sz w:val="24"/>
          <w:szCs w:val="24"/>
          <w:lang w:val="es-ES"/>
        </w:rPr>
        <w:t>Vírgala</w:t>
      </w:r>
      <w:proofErr w:type="spellEnd"/>
      <w:r w:rsidRPr="00161C1B">
        <w:rPr>
          <w:rFonts w:ascii="Times New Roman" w:hAnsi="Times New Roman" w:cs="Times New Roman"/>
          <w:i/>
          <w:sz w:val="24"/>
          <w:szCs w:val="24"/>
          <w:lang w:val="es-ES"/>
        </w:rPr>
        <w:t xml:space="preserve"> </w:t>
      </w:r>
      <w:r w:rsidRPr="00161C1B">
        <w:rPr>
          <w:rFonts w:ascii="Times New Roman" w:hAnsi="Times New Roman" w:cs="Times New Roman"/>
          <w:sz w:val="24"/>
          <w:szCs w:val="24"/>
          <w:lang w:val="es-ES"/>
        </w:rPr>
        <w:t>(</w:t>
      </w:r>
      <w:proofErr w:type="spellStart"/>
      <w:r w:rsidRPr="00161C1B">
        <w:rPr>
          <w:rFonts w:ascii="Times New Roman" w:hAnsi="Times New Roman" w:cs="Times New Roman"/>
          <w:sz w:val="24"/>
          <w:szCs w:val="24"/>
          <w:lang w:val="es-ES"/>
        </w:rPr>
        <w:t>eds</w:t>
      </w:r>
      <w:proofErr w:type="spellEnd"/>
      <w:r w:rsidRPr="00161C1B">
        <w:rPr>
          <w:rFonts w:ascii="Times New Roman" w:hAnsi="Times New Roman" w:cs="Times New Roman"/>
          <w:sz w:val="24"/>
          <w:szCs w:val="24"/>
          <w:lang w:val="es-ES"/>
        </w:rPr>
        <w:t xml:space="preserve">) (2008) </w:t>
      </w:r>
      <w:r w:rsidRPr="00161C1B">
        <w:rPr>
          <w:rFonts w:ascii="Times New Roman" w:hAnsi="Times New Roman" w:cs="Times New Roman"/>
          <w:i/>
          <w:sz w:val="24"/>
          <w:szCs w:val="24"/>
          <w:lang w:val="es-ES"/>
        </w:rPr>
        <w:t>La ilegalización de partidos políticos en las democracias occidentales</w:t>
      </w:r>
      <w:r w:rsidRPr="00161C1B">
        <w:rPr>
          <w:rFonts w:ascii="Times New Roman" w:hAnsi="Times New Roman" w:cs="Times New Roman"/>
          <w:sz w:val="24"/>
          <w:szCs w:val="24"/>
          <w:lang w:val="es-ES"/>
        </w:rPr>
        <w:t xml:space="preserve">. </w:t>
      </w:r>
      <w:r w:rsidRPr="00161C1B">
        <w:rPr>
          <w:rFonts w:ascii="Times New Roman" w:hAnsi="Times New Roman" w:cs="Times New Roman"/>
          <w:sz w:val="24"/>
          <w:szCs w:val="24"/>
          <w:lang w:val="en-US"/>
        </w:rPr>
        <w:t xml:space="preserve">Madrid. </w:t>
      </w:r>
      <w:proofErr w:type="spellStart"/>
      <w:proofErr w:type="gramStart"/>
      <w:r w:rsidRPr="00161C1B">
        <w:rPr>
          <w:rFonts w:ascii="Times New Roman" w:hAnsi="Times New Roman" w:cs="Times New Roman"/>
          <w:sz w:val="24"/>
          <w:szCs w:val="24"/>
          <w:lang w:val="en-US"/>
        </w:rPr>
        <w:t>Dykinson</w:t>
      </w:r>
      <w:proofErr w:type="spellEnd"/>
      <w:r w:rsidRPr="00161C1B">
        <w:rPr>
          <w:rFonts w:ascii="Times New Roman" w:hAnsi="Times New Roman" w:cs="Times New Roman"/>
          <w:sz w:val="24"/>
          <w:szCs w:val="24"/>
          <w:lang w:val="en-US"/>
        </w:rPr>
        <w:t>.</w:t>
      </w:r>
      <w:proofErr w:type="gramEnd"/>
    </w:p>
    <w:p w:rsidR="003C3018" w:rsidRPr="003C3018" w:rsidRDefault="003C3018" w:rsidP="003C3018">
      <w:pPr>
        <w:autoSpaceDE w:val="0"/>
        <w:autoSpaceDN w:val="0"/>
        <w:adjustRightInd w:val="0"/>
        <w:spacing w:after="0" w:line="360" w:lineRule="auto"/>
        <w:rPr>
          <w:rFonts w:ascii="Times New Roman" w:hAnsi="Times New Roman" w:cs="Times New Roman"/>
          <w:sz w:val="24"/>
          <w:szCs w:val="24"/>
          <w:lang w:val="en-US"/>
        </w:rPr>
      </w:pPr>
      <w:proofErr w:type="gramStart"/>
      <w:r w:rsidRPr="003C3018">
        <w:rPr>
          <w:rFonts w:ascii="Times New Roman" w:hAnsi="Times New Roman" w:cs="Times New Roman"/>
          <w:sz w:val="24"/>
          <w:szCs w:val="24"/>
          <w:lang w:val="en-US"/>
        </w:rPr>
        <w:t xml:space="preserve">Diamond, L. and L. </w:t>
      </w:r>
      <w:proofErr w:type="spellStart"/>
      <w:r w:rsidRPr="003C3018">
        <w:rPr>
          <w:rFonts w:ascii="Times New Roman" w:hAnsi="Times New Roman" w:cs="Times New Roman"/>
          <w:sz w:val="24"/>
          <w:szCs w:val="24"/>
          <w:lang w:val="en-US"/>
        </w:rPr>
        <w:t>Morlino</w:t>
      </w:r>
      <w:proofErr w:type="spellEnd"/>
      <w:r w:rsidRPr="003C3018">
        <w:rPr>
          <w:rFonts w:ascii="Times New Roman" w:hAnsi="Times New Roman" w:cs="Times New Roman"/>
          <w:sz w:val="24"/>
          <w:szCs w:val="24"/>
          <w:lang w:val="en-US"/>
        </w:rPr>
        <w:t>, eds., 2005.</w:t>
      </w:r>
      <w:proofErr w:type="gramEnd"/>
      <w:r w:rsidRPr="003C3018">
        <w:rPr>
          <w:rFonts w:ascii="Times New Roman" w:hAnsi="Times New Roman" w:cs="Times New Roman"/>
          <w:sz w:val="24"/>
          <w:szCs w:val="24"/>
          <w:lang w:val="en-US"/>
        </w:rPr>
        <w:t xml:space="preserve"> </w:t>
      </w:r>
      <w:proofErr w:type="gramStart"/>
      <w:r w:rsidRPr="003C3018">
        <w:rPr>
          <w:rFonts w:ascii="Times New Roman" w:hAnsi="Times New Roman" w:cs="Times New Roman"/>
          <w:i/>
          <w:iCs/>
          <w:sz w:val="24"/>
          <w:szCs w:val="24"/>
          <w:lang w:val="en-US"/>
        </w:rPr>
        <w:t>Assessing the Quality of Democracy.</w:t>
      </w:r>
      <w:proofErr w:type="gramEnd"/>
      <w:r w:rsidRPr="003C3018">
        <w:rPr>
          <w:rFonts w:ascii="Times New Roman" w:hAnsi="Times New Roman" w:cs="Times New Roman"/>
          <w:i/>
          <w:iCs/>
          <w:sz w:val="24"/>
          <w:szCs w:val="24"/>
          <w:lang w:val="en-US"/>
        </w:rPr>
        <w:t xml:space="preserve"> </w:t>
      </w:r>
      <w:r w:rsidRPr="003C3018">
        <w:rPr>
          <w:rFonts w:ascii="Times New Roman" w:hAnsi="Times New Roman" w:cs="Times New Roman"/>
          <w:sz w:val="24"/>
          <w:szCs w:val="24"/>
          <w:lang w:val="en-US"/>
        </w:rPr>
        <w:t>Baltimore: John Hopkins University Press.</w:t>
      </w:r>
    </w:p>
    <w:p w:rsidR="00161C1B" w:rsidRPr="00161C1B" w:rsidRDefault="00161C1B" w:rsidP="00161C1B">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US"/>
        </w:rPr>
        <w:t>Duverger</w:t>
      </w:r>
      <w:proofErr w:type="spellEnd"/>
      <w:r w:rsidRPr="00161C1B">
        <w:rPr>
          <w:rFonts w:ascii="Times New Roman" w:hAnsi="Times New Roman" w:cs="Times New Roman"/>
          <w:sz w:val="24"/>
          <w:szCs w:val="24"/>
          <w:lang w:val="en-US"/>
        </w:rPr>
        <w:t>, M (1954) Political parties (London Methuen)</w:t>
      </w:r>
    </w:p>
    <w:p w:rsidR="003C3018" w:rsidRPr="003C3018" w:rsidRDefault="00161C1B" w:rsidP="003C3018">
      <w:pPr>
        <w:autoSpaceDE w:val="0"/>
        <w:autoSpaceDN w:val="0"/>
        <w:adjustRightInd w:val="0"/>
        <w:spacing w:after="0" w:line="360" w:lineRule="auto"/>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Fox, Gregory H and Georg Nolte (2000) ‘Intolerant Democracies’, </w:t>
      </w:r>
      <w:r w:rsidR="003C3018" w:rsidRPr="003C3018">
        <w:rPr>
          <w:rFonts w:ascii="Times New Roman" w:hAnsi="Times New Roman" w:cs="Times New Roman"/>
          <w:sz w:val="24"/>
          <w:szCs w:val="24"/>
          <w:lang w:val="en-US"/>
        </w:rPr>
        <w:t>in G. Fox and B. R. Roth, eds</w:t>
      </w:r>
      <w:proofErr w:type="gramStart"/>
      <w:r w:rsidR="003C3018" w:rsidRPr="003C3018">
        <w:rPr>
          <w:rFonts w:ascii="Times New Roman" w:hAnsi="Times New Roman" w:cs="Times New Roman"/>
          <w:sz w:val="24"/>
          <w:szCs w:val="24"/>
          <w:lang w:val="en-US"/>
        </w:rPr>
        <w:t>.,</w:t>
      </w:r>
      <w:proofErr w:type="gramEnd"/>
    </w:p>
    <w:p w:rsidR="003C3018" w:rsidRPr="003C3018" w:rsidRDefault="003C3018" w:rsidP="003C3018">
      <w:pPr>
        <w:autoSpaceDE w:val="0"/>
        <w:autoSpaceDN w:val="0"/>
        <w:adjustRightInd w:val="0"/>
        <w:spacing w:after="0" w:line="360" w:lineRule="auto"/>
        <w:rPr>
          <w:rFonts w:ascii="Times New Roman" w:hAnsi="Times New Roman" w:cs="Times New Roman"/>
          <w:sz w:val="24"/>
          <w:szCs w:val="24"/>
          <w:lang w:val="en-US"/>
        </w:rPr>
      </w:pPr>
      <w:proofErr w:type="gramStart"/>
      <w:r w:rsidRPr="003C3018">
        <w:rPr>
          <w:rFonts w:ascii="Times New Roman" w:hAnsi="Times New Roman" w:cs="Times New Roman"/>
          <w:i/>
          <w:iCs/>
          <w:sz w:val="24"/>
          <w:szCs w:val="24"/>
          <w:lang w:val="en-US"/>
        </w:rPr>
        <w:t>Democratic Governance and International Law.</w:t>
      </w:r>
      <w:proofErr w:type="gramEnd"/>
      <w:r w:rsidRPr="003C3018">
        <w:rPr>
          <w:rFonts w:ascii="Times New Roman" w:hAnsi="Times New Roman" w:cs="Times New Roman"/>
          <w:i/>
          <w:iCs/>
          <w:sz w:val="24"/>
          <w:szCs w:val="24"/>
          <w:lang w:val="en-US"/>
        </w:rPr>
        <w:t xml:space="preserve"> </w:t>
      </w:r>
      <w:r w:rsidRPr="003C3018">
        <w:rPr>
          <w:rFonts w:ascii="Times New Roman" w:hAnsi="Times New Roman" w:cs="Times New Roman"/>
          <w:sz w:val="24"/>
          <w:szCs w:val="24"/>
          <w:lang w:val="en-US"/>
        </w:rPr>
        <w:t>Cambridge: Cambridge University</w:t>
      </w:r>
    </w:p>
    <w:p w:rsidR="00161C1B" w:rsidRPr="003C3018" w:rsidRDefault="003C3018" w:rsidP="003C3018">
      <w:pPr>
        <w:spacing w:after="0" w:line="360" w:lineRule="auto"/>
        <w:jc w:val="both"/>
        <w:rPr>
          <w:rFonts w:ascii="Times New Roman" w:hAnsi="Times New Roman" w:cs="Times New Roman"/>
          <w:sz w:val="24"/>
          <w:szCs w:val="24"/>
          <w:lang w:val="en-US"/>
        </w:rPr>
      </w:pPr>
      <w:proofErr w:type="gramStart"/>
      <w:r w:rsidRPr="003C3018">
        <w:rPr>
          <w:rFonts w:ascii="Times New Roman" w:hAnsi="Times New Roman" w:cs="Times New Roman"/>
          <w:sz w:val="24"/>
          <w:szCs w:val="24"/>
          <w:lang w:val="en-US"/>
        </w:rPr>
        <w:t>Press.</w:t>
      </w:r>
      <w:proofErr w:type="gramEnd"/>
    </w:p>
    <w:p w:rsidR="00161C1B" w:rsidRPr="00161C1B" w:rsidRDefault="00161C1B" w:rsidP="00161C1B">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161C1B">
        <w:rPr>
          <w:rFonts w:ascii="Times New Roman" w:hAnsi="Times New Roman" w:cs="Times New Roman"/>
          <w:sz w:val="24"/>
          <w:szCs w:val="24"/>
          <w:lang w:val="en-US" w:eastAsia="en-GB"/>
        </w:rPr>
        <w:t>Gordon, D. (1987) Limits on extremist political parties.</w:t>
      </w:r>
      <w:proofErr w:type="gramEnd"/>
      <w:r w:rsidRPr="00161C1B">
        <w:rPr>
          <w:rFonts w:ascii="Times New Roman" w:hAnsi="Times New Roman" w:cs="Times New Roman"/>
          <w:sz w:val="24"/>
          <w:szCs w:val="24"/>
          <w:lang w:val="en-US" w:eastAsia="en-GB"/>
        </w:rPr>
        <w:t xml:space="preserve"> </w:t>
      </w:r>
      <w:r w:rsidRPr="00161C1B">
        <w:rPr>
          <w:rFonts w:ascii="Times New Roman" w:hAnsi="Times New Roman" w:cs="Times New Roman"/>
          <w:i/>
          <w:sz w:val="24"/>
          <w:szCs w:val="24"/>
          <w:lang w:val="en-US" w:eastAsia="en-GB"/>
        </w:rPr>
        <w:t>Hastings International and Comparative Law Review,</w:t>
      </w:r>
      <w:r w:rsidRPr="00161C1B">
        <w:rPr>
          <w:rFonts w:ascii="Times New Roman" w:hAnsi="Times New Roman" w:cs="Times New Roman"/>
          <w:sz w:val="24"/>
          <w:szCs w:val="24"/>
          <w:lang w:val="en-US" w:eastAsia="en-GB"/>
        </w:rPr>
        <w:t xml:space="preserve"> 10: 347–400.</w:t>
      </w:r>
    </w:p>
    <w:p w:rsidR="00161C1B" w:rsidRDefault="00161C1B" w:rsidP="00161C1B">
      <w:pPr>
        <w:autoSpaceDE w:val="0"/>
        <w:autoSpaceDN w:val="0"/>
        <w:adjustRightInd w:val="0"/>
        <w:spacing w:after="0" w:line="360" w:lineRule="auto"/>
        <w:jc w:val="both"/>
        <w:rPr>
          <w:rFonts w:ascii="Times New Roman" w:hAnsi="Times New Roman" w:cs="Times New Roman"/>
          <w:sz w:val="24"/>
          <w:szCs w:val="24"/>
          <w:lang w:val="en-US" w:eastAsia="en-GB"/>
        </w:rPr>
      </w:pPr>
      <w:proofErr w:type="gramStart"/>
      <w:r w:rsidRPr="00161C1B">
        <w:rPr>
          <w:rFonts w:ascii="Times New Roman" w:hAnsi="Times New Roman" w:cs="Times New Roman"/>
          <w:sz w:val="24"/>
          <w:szCs w:val="24"/>
          <w:lang w:val="en-US" w:eastAsia="en-GB"/>
        </w:rPr>
        <w:t>Gordon, D. (1987) Limits on extremist political parties.</w:t>
      </w:r>
      <w:proofErr w:type="gramEnd"/>
      <w:r w:rsidRPr="00161C1B">
        <w:rPr>
          <w:rFonts w:ascii="Times New Roman" w:hAnsi="Times New Roman" w:cs="Times New Roman"/>
          <w:sz w:val="24"/>
          <w:szCs w:val="24"/>
          <w:lang w:val="en-US" w:eastAsia="en-GB"/>
        </w:rPr>
        <w:t xml:space="preserve"> </w:t>
      </w:r>
      <w:r w:rsidRPr="00161C1B">
        <w:rPr>
          <w:rFonts w:ascii="Times New Roman" w:hAnsi="Times New Roman" w:cs="Times New Roman"/>
          <w:i/>
          <w:sz w:val="24"/>
          <w:szCs w:val="24"/>
          <w:lang w:val="en-US" w:eastAsia="en-GB"/>
        </w:rPr>
        <w:t>Hastings International and Comparative Law Review,</w:t>
      </w:r>
      <w:r w:rsidRPr="00161C1B">
        <w:rPr>
          <w:rFonts w:ascii="Times New Roman" w:hAnsi="Times New Roman" w:cs="Times New Roman"/>
          <w:sz w:val="24"/>
          <w:szCs w:val="24"/>
          <w:lang w:val="en-US" w:eastAsia="en-GB"/>
        </w:rPr>
        <w:t xml:space="preserve"> 10: 347–400.</w:t>
      </w:r>
    </w:p>
    <w:p w:rsidR="00836AF8" w:rsidRPr="00161C1B" w:rsidRDefault="00836AF8" w:rsidP="00161C1B">
      <w:pPr>
        <w:autoSpaceDE w:val="0"/>
        <w:autoSpaceDN w:val="0"/>
        <w:adjustRightInd w:val="0"/>
        <w:spacing w:after="0" w:line="360" w:lineRule="auto"/>
        <w:jc w:val="both"/>
        <w:rPr>
          <w:rFonts w:ascii="Times New Roman" w:hAnsi="Times New Roman" w:cs="Times New Roman"/>
          <w:sz w:val="24"/>
          <w:szCs w:val="24"/>
          <w:lang w:val="en-US" w:eastAsia="en-GB"/>
        </w:rPr>
      </w:pPr>
      <w:proofErr w:type="spellStart"/>
      <w:r>
        <w:rPr>
          <w:rFonts w:ascii="Times New Roman" w:hAnsi="Times New Roman" w:cs="Times New Roman"/>
          <w:sz w:val="24"/>
          <w:szCs w:val="24"/>
          <w:lang w:val="en-US" w:eastAsia="en-GB"/>
        </w:rPr>
        <w:t>Güney</w:t>
      </w:r>
      <w:proofErr w:type="spellEnd"/>
      <w:r>
        <w:rPr>
          <w:rFonts w:ascii="Times New Roman" w:hAnsi="Times New Roman" w:cs="Times New Roman"/>
          <w:sz w:val="24"/>
          <w:szCs w:val="24"/>
          <w:lang w:val="en-US" w:eastAsia="en-GB"/>
        </w:rPr>
        <w:t xml:space="preserve">, A and </w:t>
      </w:r>
      <w:proofErr w:type="spellStart"/>
      <w:r>
        <w:rPr>
          <w:rFonts w:ascii="Times New Roman" w:hAnsi="Times New Roman" w:cs="Times New Roman"/>
          <w:sz w:val="24"/>
          <w:szCs w:val="24"/>
          <w:lang w:val="en-US" w:eastAsia="en-GB"/>
        </w:rPr>
        <w:t>Başkan</w:t>
      </w:r>
      <w:proofErr w:type="spellEnd"/>
      <w:r>
        <w:rPr>
          <w:rFonts w:ascii="Times New Roman" w:hAnsi="Times New Roman" w:cs="Times New Roman"/>
          <w:sz w:val="24"/>
          <w:szCs w:val="24"/>
          <w:lang w:val="en-US" w:eastAsia="en-GB"/>
        </w:rPr>
        <w:t xml:space="preserve">, F (2008) Party Dissolutions and Democratic Consolidation: The Turkish Case, </w:t>
      </w:r>
      <w:r w:rsidRPr="00836AF8">
        <w:rPr>
          <w:rFonts w:ascii="Times New Roman" w:hAnsi="Times New Roman" w:cs="Times New Roman"/>
          <w:i/>
          <w:sz w:val="24"/>
          <w:szCs w:val="24"/>
          <w:lang w:val="en-US" w:eastAsia="en-GB"/>
        </w:rPr>
        <w:t>South European Politics</w:t>
      </w:r>
      <w:r>
        <w:rPr>
          <w:rFonts w:ascii="Times New Roman" w:hAnsi="Times New Roman" w:cs="Times New Roman"/>
          <w:sz w:val="24"/>
          <w:szCs w:val="24"/>
          <w:lang w:val="en-US" w:eastAsia="en-GB"/>
        </w:rPr>
        <w:t>, 13:3, p. 263-281.</w:t>
      </w:r>
    </w:p>
    <w:p w:rsidR="00161C1B" w:rsidRPr="0061511B" w:rsidRDefault="00161C1B" w:rsidP="003C3018">
      <w:pPr>
        <w:spacing w:after="0" w:line="360" w:lineRule="auto"/>
        <w:jc w:val="both"/>
        <w:rPr>
          <w:rFonts w:ascii="Times New Roman" w:hAnsi="Times New Roman" w:cs="Times New Roman"/>
          <w:i/>
          <w:sz w:val="24"/>
          <w:szCs w:val="24"/>
          <w:lang w:val="en-US"/>
        </w:rPr>
      </w:pPr>
      <w:r w:rsidRPr="00161C1B">
        <w:rPr>
          <w:rFonts w:ascii="Times New Roman" w:hAnsi="Times New Roman" w:cs="Times New Roman"/>
          <w:sz w:val="24"/>
          <w:szCs w:val="24"/>
          <w:lang w:val="en-US"/>
        </w:rPr>
        <w:t xml:space="preserve">Hug, S. (2001): </w:t>
      </w:r>
      <w:r w:rsidRPr="003C3018">
        <w:rPr>
          <w:rFonts w:ascii="Times New Roman" w:hAnsi="Times New Roman" w:cs="Times New Roman"/>
          <w:i/>
          <w:sz w:val="24"/>
          <w:szCs w:val="24"/>
          <w:lang w:val="en-US"/>
        </w:rPr>
        <w:t xml:space="preserve">Altering Party Systems. </w:t>
      </w:r>
      <w:proofErr w:type="gramStart"/>
      <w:r w:rsidRPr="003C3018">
        <w:rPr>
          <w:rFonts w:ascii="Times New Roman" w:hAnsi="Times New Roman" w:cs="Times New Roman"/>
          <w:i/>
          <w:sz w:val="24"/>
          <w:szCs w:val="24"/>
          <w:lang w:val="en-US"/>
        </w:rPr>
        <w:t>Strategic Behavior and the Emergence of New Political Parties in Western Democracies</w:t>
      </w:r>
      <w:r w:rsidRPr="0061511B">
        <w:rPr>
          <w:rFonts w:ascii="Times New Roman" w:hAnsi="Times New Roman" w:cs="Times New Roman"/>
          <w:sz w:val="24"/>
          <w:szCs w:val="24"/>
          <w:lang w:val="en-US"/>
        </w:rPr>
        <w:t>.</w:t>
      </w:r>
      <w:proofErr w:type="gramEnd"/>
      <w:r w:rsidRPr="0061511B">
        <w:rPr>
          <w:rFonts w:ascii="Times New Roman" w:hAnsi="Times New Roman" w:cs="Times New Roman"/>
          <w:sz w:val="24"/>
          <w:szCs w:val="24"/>
          <w:lang w:val="en-US"/>
        </w:rPr>
        <w:t xml:space="preserve"> Ann Arbor, MI: University of Michigan Press</w:t>
      </w:r>
    </w:p>
    <w:p w:rsidR="003C3018" w:rsidRPr="00883DB3" w:rsidRDefault="003C3018" w:rsidP="00883DB3">
      <w:pPr>
        <w:autoSpaceDE w:val="0"/>
        <w:autoSpaceDN w:val="0"/>
        <w:adjustRightInd w:val="0"/>
        <w:spacing w:after="0" w:line="360" w:lineRule="auto"/>
        <w:rPr>
          <w:rFonts w:ascii="Times New Roman" w:hAnsi="Times New Roman" w:cs="Times New Roman"/>
          <w:i/>
          <w:iCs/>
          <w:sz w:val="24"/>
          <w:szCs w:val="24"/>
          <w:lang w:val="en-US"/>
        </w:rPr>
      </w:pPr>
      <w:r w:rsidRPr="00883DB3">
        <w:rPr>
          <w:rFonts w:ascii="Times New Roman" w:hAnsi="Times New Roman" w:cs="Times New Roman"/>
          <w:sz w:val="24"/>
          <w:szCs w:val="24"/>
          <w:lang w:val="en-US"/>
        </w:rPr>
        <w:t xml:space="preserve">Huntington, S. P., 1991. </w:t>
      </w:r>
      <w:r w:rsidRPr="00883DB3">
        <w:rPr>
          <w:rFonts w:ascii="Times New Roman" w:hAnsi="Times New Roman" w:cs="Times New Roman"/>
          <w:i/>
          <w:iCs/>
          <w:sz w:val="24"/>
          <w:szCs w:val="24"/>
          <w:lang w:val="en-US"/>
        </w:rPr>
        <w:t xml:space="preserve">The Third Wave: </w:t>
      </w:r>
      <w:proofErr w:type="spellStart"/>
      <w:r w:rsidRPr="00883DB3">
        <w:rPr>
          <w:rFonts w:ascii="Times New Roman" w:hAnsi="Times New Roman" w:cs="Times New Roman"/>
          <w:i/>
          <w:iCs/>
          <w:sz w:val="24"/>
          <w:szCs w:val="24"/>
          <w:lang w:val="en-US"/>
        </w:rPr>
        <w:t>Democratisation</w:t>
      </w:r>
      <w:proofErr w:type="spellEnd"/>
      <w:r w:rsidRPr="00883DB3">
        <w:rPr>
          <w:rFonts w:ascii="Times New Roman" w:hAnsi="Times New Roman" w:cs="Times New Roman"/>
          <w:i/>
          <w:iCs/>
          <w:sz w:val="24"/>
          <w:szCs w:val="24"/>
          <w:lang w:val="en-US"/>
        </w:rPr>
        <w:t xml:space="preserve"> in the Late Twentieth</w:t>
      </w:r>
    </w:p>
    <w:p w:rsidR="003C3018" w:rsidRPr="003C3018" w:rsidRDefault="003C3018" w:rsidP="003C3018">
      <w:pPr>
        <w:spacing w:after="0" w:line="360" w:lineRule="auto"/>
        <w:jc w:val="both"/>
        <w:rPr>
          <w:rFonts w:ascii="Times New Roman" w:hAnsi="Times New Roman" w:cs="Times New Roman"/>
          <w:sz w:val="24"/>
          <w:szCs w:val="24"/>
          <w:lang w:val="en-US"/>
        </w:rPr>
      </w:pPr>
      <w:proofErr w:type="gramStart"/>
      <w:r w:rsidRPr="00883DB3">
        <w:rPr>
          <w:rFonts w:ascii="Times New Roman" w:hAnsi="Times New Roman" w:cs="Times New Roman"/>
          <w:i/>
          <w:iCs/>
          <w:sz w:val="24"/>
          <w:szCs w:val="24"/>
          <w:lang w:val="en-US"/>
        </w:rPr>
        <w:t>Century</w:t>
      </w:r>
      <w:r w:rsidRPr="00883DB3">
        <w:rPr>
          <w:rFonts w:ascii="Times New Roman" w:hAnsi="Times New Roman" w:cs="Times New Roman"/>
          <w:sz w:val="24"/>
          <w:szCs w:val="24"/>
          <w:lang w:val="en-US"/>
        </w:rPr>
        <w:t>.</w:t>
      </w:r>
      <w:proofErr w:type="gramEnd"/>
      <w:r w:rsidRPr="00883DB3">
        <w:rPr>
          <w:rFonts w:ascii="Times New Roman" w:hAnsi="Times New Roman" w:cs="Times New Roman"/>
          <w:sz w:val="24"/>
          <w:szCs w:val="24"/>
          <w:lang w:val="en-US"/>
        </w:rPr>
        <w:t xml:space="preserve"> Norman: University of Oklahoma Press.</w:t>
      </w:r>
    </w:p>
    <w:p w:rsidR="00161C1B" w:rsidRPr="00161C1B" w:rsidRDefault="00161C1B" w:rsidP="003C3018">
      <w:pPr>
        <w:spacing w:after="0" w:line="360" w:lineRule="auto"/>
        <w:jc w:val="both"/>
        <w:rPr>
          <w:rFonts w:ascii="Times New Roman" w:hAnsi="Times New Roman" w:cs="Times New Roman"/>
          <w:sz w:val="24"/>
          <w:szCs w:val="24"/>
          <w:lang w:val="en-US"/>
        </w:rPr>
      </w:pPr>
      <w:r w:rsidRPr="003C3018">
        <w:rPr>
          <w:rFonts w:ascii="Times New Roman" w:hAnsi="Times New Roman" w:cs="Times New Roman"/>
          <w:sz w:val="24"/>
          <w:szCs w:val="24"/>
          <w:lang w:val="en-US"/>
        </w:rPr>
        <w:lastRenderedPageBreak/>
        <w:t>Husbands, C (2002) Combatting the Extreme Right with the Instruments of the Constitutional state: lessons from Experiences in</w:t>
      </w:r>
      <w:r w:rsidRPr="00161C1B">
        <w:rPr>
          <w:rFonts w:ascii="Times New Roman" w:hAnsi="Times New Roman" w:cs="Times New Roman"/>
          <w:sz w:val="24"/>
          <w:szCs w:val="24"/>
          <w:lang w:val="en-US"/>
        </w:rPr>
        <w:t xml:space="preserve"> Western Europe’, in Journal fur </w:t>
      </w:r>
      <w:proofErr w:type="spellStart"/>
      <w:r w:rsidRPr="00161C1B">
        <w:rPr>
          <w:rFonts w:ascii="Times New Roman" w:hAnsi="Times New Roman" w:cs="Times New Roman"/>
          <w:sz w:val="24"/>
          <w:szCs w:val="24"/>
          <w:lang w:val="en-US"/>
        </w:rPr>
        <w:t>Konflict</w:t>
      </w:r>
      <w:proofErr w:type="spellEnd"/>
      <w:r w:rsidRPr="00161C1B">
        <w:rPr>
          <w:rFonts w:ascii="Times New Roman" w:hAnsi="Times New Roman" w:cs="Times New Roman"/>
          <w:sz w:val="24"/>
          <w:szCs w:val="24"/>
          <w:lang w:val="en-US"/>
        </w:rPr>
        <w:t xml:space="preserve"> – und </w:t>
      </w:r>
      <w:proofErr w:type="spellStart"/>
      <w:r w:rsidRPr="00161C1B">
        <w:rPr>
          <w:rFonts w:ascii="Times New Roman" w:hAnsi="Times New Roman" w:cs="Times New Roman"/>
          <w:sz w:val="24"/>
          <w:szCs w:val="24"/>
          <w:lang w:val="en-US"/>
        </w:rPr>
        <w:t>gewaltforschung</w:t>
      </w:r>
      <w:proofErr w:type="spellEnd"/>
      <w:r w:rsidRPr="00161C1B">
        <w:rPr>
          <w:rFonts w:ascii="Times New Roman" w:hAnsi="Times New Roman" w:cs="Times New Roman"/>
          <w:sz w:val="24"/>
          <w:szCs w:val="24"/>
          <w:lang w:val="en-US"/>
        </w:rPr>
        <w:t>, 4:1, p. 52-73</w:t>
      </w:r>
    </w:p>
    <w:p w:rsidR="00161C1B" w:rsidRPr="00161C1B" w:rsidRDefault="00161C1B" w:rsidP="00161C1B">
      <w:pPr>
        <w:spacing w:after="0" w:line="360" w:lineRule="auto"/>
        <w:jc w:val="both"/>
        <w:rPr>
          <w:rFonts w:ascii="Times New Roman" w:hAnsi="Times New Roman" w:cs="Times New Roman"/>
          <w:sz w:val="24"/>
          <w:szCs w:val="24"/>
          <w:lang w:val="en-US"/>
        </w:rPr>
      </w:pPr>
      <w:r w:rsidRPr="007C17D0">
        <w:rPr>
          <w:rFonts w:ascii="Times New Roman" w:hAnsi="Times New Roman" w:cs="Times New Roman"/>
          <w:sz w:val="24"/>
          <w:szCs w:val="24"/>
          <w:lang w:val="es-ES"/>
        </w:rPr>
        <w:t xml:space="preserve">Europa </w:t>
      </w:r>
      <w:proofErr w:type="spellStart"/>
      <w:r w:rsidRPr="007C17D0">
        <w:rPr>
          <w:rFonts w:ascii="Times New Roman" w:hAnsi="Times New Roman" w:cs="Times New Roman"/>
          <w:sz w:val="24"/>
          <w:szCs w:val="24"/>
          <w:lang w:val="es-ES"/>
        </w:rPr>
        <w:t>Press</w:t>
      </w:r>
      <w:proofErr w:type="spellEnd"/>
      <w:r w:rsidRPr="007C17D0">
        <w:rPr>
          <w:rFonts w:ascii="Times New Roman" w:hAnsi="Times New Roman" w:cs="Times New Roman"/>
          <w:sz w:val="24"/>
          <w:szCs w:val="24"/>
          <w:lang w:val="es-ES"/>
        </w:rPr>
        <w:t xml:space="preserve"> (2009): “La Izquierda Abertzale Insta a Votar con Papeletas de D3M” (</w:t>
      </w:r>
      <w:proofErr w:type="spellStart"/>
      <w:r w:rsidRPr="007C17D0">
        <w:rPr>
          <w:rFonts w:ascii="Times New Roman" w:hAnsi="Times New Roman" w:cs="Times New Roman"/>
          <w:sz w:val="24"/>
          <w:szCs w:val="24"/>
          <w:lang w:val="es-ES"/>
        </w:rPr>
        <w:t>February</w:t>
      </w:r>
      <w:proofErr w:type="spellEnd"/>
      <w:r w:rsidRPr="007C17D0">
        <w:rPr>
          <w:rFonts w:ascii="Times New Roman" w:hAnsi="Times New Roman" w:cs="Times New Roman"/>
          <w:sz w:val="24"/>
          <w:szCs w:val="24"/>
          <w:lang w:val="es-ES"/>
        </w:rPr>
        <w:t xml:space="preserve"> 13</w:t>
      </w:r>
      <w:r w:rsidRPr="007C17D0">
        <w:rPr>
          <w:rFonts w:ascii="Times New Roman" w:hAnsi="Times New Roman" w:cs="Times New Roman"/>
          <w:sz w:val="24"/>
          <w:szCs w:val="24"/>
          <w:vertAlign w:val="superscript"/>
          <w:lang w:val="es-ES"/>
        </w:rPr>
        <w:t>th</w:t>
      </w:r>
      <w:r w:rsidRPr="007C17D0">
        <w:rPr>
          <w:rFonts w:ascii="Times New Roman" w:hAnsi="Times New Roman" w:cs="Times New Roman"/>
          <w:sz w:val="24"/>
          <w:szCs w:val="24"/>
          <w:lang w:val="es-ES"/>
        </w:rPr>
        <w:t xml:space="preserve">). </w:t>
      </w:r>
      <w:r w:rsidRPr="00161C1B">
        <w:rPr>
          <w:rFonts w:ascii="Times New Roman" w:hAnsi="Times New Roman" w:cs="Times New Roman"/>
          <w:sz w:val="24"/>
          <w:szCs w:val="24"/>
          <w:lang w:val="en-US"/>
        </w:rPr>
        <w:t xml:space="preserve">Available at: </w:t>
      </w:r>
      <w:hyperlink r:id="rId10" w:history="1">
        <w:r w:rsidRPr="00161C1B">
          <w:rPr>
            <w:rStyle w:val="Hyperlink"/>
            <w:rFonts w:ascii="Times New Roman" w:hAnsi="Times New Roman" w:cs="Times New Roman"/>
            <w:sz w:val="24"/>
            <w:szCs w:val="24"/>
            <w:lang w:val="en-US"/>
          </w:rPr>
          <w:t>http://www.europapress.es/nacional/noticia-izquierda-abertzale-insta-votar-papeletas-d3m-20090213213342.html</w:t>
        </w:r>
      </w:hyperlink>
      <w:r w:rsidRPr="00161C1B">
        <w:rPr>
          <w:rFonts w:ascii="Times New Roman" w:hAnsi="Times New Roman" w:cs="Times New Roman"/>
          <w:sz w:val="24"/>
          <w:szCs w:val="24"/>
          <w:lang w:val="en-US"/>
        </w:rPr>
        <w:t>. Accessed on March 28</w:t>
      </w:r>
      <w:r w:rsidRPr="00161C1B">
        <w:rPr>
          <w:rFonts w:ascii="Times New Roman" w:hAnsi="Times New Roman" w:cs="Times New Roman"/>
          <w:sz w:val="24"/>
          <w:szCs w:val="24"/>
          <w:vertAlign w:val="superscript"/>
          <w:lang w:val="en-US"/>
        </w:rPr>
        <w:t>th</w:t>
      </w:r>
      <w:r w:rsidRPr="00161C1B">
        <w:rPr>
          <w:rFonts w:ascii="Times New Roman" w:hAnsi="Times New Roman" w:cs="Times New Roman"/>
          <w:sz w:val="24"/>
          <w:szCs w:val="24"/>
          <w:lang w:val="en-US"/>
        </w:rPr>
        <w:t>, 2014</w:t>
      </w:r>
    </w:p>
    <w:p w:rsidR="00161C1B" w:rsidRPr="00161C1B" w:rsidRDefault="00161C1B" w:rsidP="00161C1B">
      <w:pPr>
        <w:spacing w:after="0" w:line="360" w:lineRule="auto"/>
        <w:jc w:val="both"/>
        <w:rPr>
          <w:rFonts w:ascii="Times New Roman" w:hAnsi="Times New Roman" w:cs="Times New Roman"/>
          <w:sz w:val="24"/>
          <w:szCs w:val="24"/>
          <w:lang w:val="en"/>
        </w:rPr>
      </w:pPr>
      <w:proofErr w:type="spellStart"/>
      <w:r w:rsidRPr="00161C1B">
        <w:rPr>
          <w:rFonts w:ascii="Times New Roman" w:hAnsi="Times New Roman" w:cs="Times New Roman"/>
          <w:sz w:val="24"/>
          <w:szCs w:val="24"/>
          <w:lang w:val="en"/>
        </w:rPr>
        <w:t>Koçak</w:t>
      </w:r>
      <w:proofErr w:type="spellEnd"/>
      <w:r w:rsidRPr="00161C1B">
        <w:rPr>
          <w:rFonts w:ascii="Times New Roman" w:hAnsi="Times New Roman" w:cs="Times New Roman"/>
          <w:sz w:val="24"/>
          <w:szCs w:val="24"/>
          <w:lang w:val="en"/>
        </w:rPr>
        <w:t xml:space="preserve">, M and </w:t>
      </w:r>
      <w:proofErr w:type="spellStart"/>
      <w:r w:rsidRPr="00161C1B">
        <w:rPr>
          <w:rFonts w:ascii="Times New Roman" w:hAnsi="Times New Roman" w:cs="Times New Roman"/>
          <w:sz w:val="24"/>
          <w:szCs w:val="24"/>
          <w:lang w:val="en"/>
        </w:rPr>
        <w:t>Örücü</w:t>
      </w:r>
      <w:proofErr w:type="spellEnd"/>
      <w:r w:rsidRPr="00161C1B">
        <w:rPr>
          <w:rFonts w:ascii="Times New Roman" w:hAnsi="Times New Roman" w:cs="Times New Roman"/>
          <w:sz w:val="24"/>
          <w:szCs w:val="24"/>
          <w:lang w:val="en"/>
        </w:rPr>
        <w:t xml:space="preserve">, E (2003) Dissolution of Political Parties in the Name of Democracy: Cases from Turkey and the European Court of Human Rights’, </w:t>
      </w:r>
      <w:r w:rsidRPr="00161C1B">
        <w:rPr>
          <w:rFonts w:ascii="Times New Roman" w:hAnsi="Times New Roman" w:cs="Times New Roman"/>
          <w:i/>
          <w:sz w:val="24"/>
          <w:szCs w:val="24"/>
          <w:lang w:val="en"/>
        </w:rPr>
        <w:t>European Public Law</w:t>
      </w:r>
      <w:r w:rsidRPr="00161C1B">
        <w:rPr>
          <w:rFonts w:ascii="Times New Roman" w:hAnsi="Times New Roman" w:cs="Times New Roman"/>
          <w:sz w:val="24"/>
          <w:szCs w:val="24"/>
          <w:lang w:val="en"/>
        </w:rPr>
        <w:t>, 9:3, 2003.</w:t>
      </w:r>
    </w:p>
    <w:p w:rsidR="00161C1B" w:rsidRPr="00161C1B" w:rsidRDefault="00161C1B" w:rsidP="00161C1B">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US"/>
        </w:rPr>
        <w:t>Laakso</w:t>
      </w:r>
      <w:proofErr w:type="spellEnd"/>
      <w:r w:rsidRPr="00161C1B">
        <w:rPr>
          <w:rFonts w:ascii="Times New Roman" w:hAnsi="Times New Roman" w:cs="Times New Roman"/>
          <w:sz w:val="24"/>
          <w:szCs w:val="24"/>
          <w:lang w:val="en-US"/>
        </w:rPr>
        <w:t xml:space="preserve">, M. and </w:t>
      </w:r>
      <w:proofErr w:type="spellStart"/>
      <w:r w:rsidRPr="00161C1B">
        <w:rPr>
          <w:rFonts w:ascii="Times New Roman" w:hAnsi="Times New Roman" w:cs="Times New Roman"/>
          <w:sz w:val="24"/>
          <w:szCs w:val="24"/>
          <w:lang w:val="en-US"/>
        </w:rPr>
        <w:t>Taagepera</w:t>
      </w:r>
      <w:proofErr w:type="spellEnd"/>
      <w:r w:rsidRPr="00161C1B">
        <w:rPr>
          <w:rFonts w:ascii="Times New Roman" w:hAnsi="Times New Roman" w:cs="Times New Roman"/>
          <w:sz w:val="24"/>
          <w:szCs w:val="24"/>
          <w:lang w:val="en-US"/>
        </w:rPr>
        <w:t>, R. (1979): “‘Effective’ Number of Parties. A Measure with</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Application to West Europe”, </w:t>
      </w:r>
      <w:r w:rsidRPr="00161C1B">
        <w:rPr>
          <w:rFonts w:ascii="Times New Roman" w:hAnsi="Times New Roman" w:cs="Times New Roman"/>
          <w:i/>
          <w:sz w:val="24"/>
          <w:szCs w:val="24"/>
          <w:lang w:val="en-US"/>
        </w:rPr>
        <w:t>Comparative Political Studies</w:t>
      </w:r>
      <w:r w:rsidRPr="00161C1B">
        <w:rPr>
          <w:rFonts w:ascii="Times New Roman" w:hAnsi="Times New Roman" w:cs="Times New Roman"/>
          <w:sz w:val="24"/>
          <w:szCs w:val="24"/>
          <w:lang w:val="en-US"/>
        </w:rPr>
        <w:t>, v. 12, n. 1, pp. 3-27</w:t>
      </w:r>
    </w:p>
    <w:p w:rsidR="00161C1B" w:rsidRPr="00161C1B" w:rsidRDefault="00161C1B" w:rsidP="00161C1B">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
        </w:rPr>
        <w:t>Landmann</w:t>
      </w:r>
      <w:proofErr w:type="spellEnd"/>
      <w:r w:rsidRPr="00161C1B">
        <w:rPr>
          <w:rFonts w:ascii="Times New Roman" w:hAnsi="Times New Roman" w:cs="Times New Roman"/>
          <w:sz w:val="24"/>
          <w:szCs w:val="24"/>
          <w:lang w:val="en"/>
        </w:rPr>
        <w:t>, T (2003) Issues and Methods in Comparative Politics (Routledge, London)</w:t>
      </w:r>
    </w:p>
    <w:p w:rsidR="00161C1B" w:rsidRPr="00161C1B" w:rsidRDefault="00161C1B" w:rsidP="00161C1B">
      <w:pPr>
        <w:spacing w:after="0" w:line="360" w:lineRule="auto"/>
        <w:jc w:val="both"/>
        <w:rPr>
          <w:rFonts w:ascii="Times New Roman" w:hAnsi="Times New Roman" w:cs="Times New Roman"/>
          <w:i/>
          <w:sz w:val="24"/>
          <w:szCs w:val="24"/>
          <w:lang w:val="en-US"/>
        </w:rPr>
      </w:pPr>
      <w:proofErr w:type="spellStart"/>
      <w:r w:rsidRPr="00161C1B">
        <w:rPr>
          <w:rFonts w:ascii="Times New Roman" w:hAnsi="Times New Roman" w:cs="Times New Roman"/>
          <w:sz w:val="24"/>
          <w:szCs w:val="24"/>
          <w:lang w:val="en-US"/>
        </w:rPr>
        <w:t>Mickenberg</w:t>
      </w:r>
      <w:proofErr w:type="spellEnd"/>
      <w:r w:rsidRPr="00161C1B">
        <w:rPr>
          <w:rFonts w:ascii="Times New Roman" w:hAnsi="Times New Roman" w:cs="Times New Roman"/>
          <w:sz w:val="24"/>
          <w:szCs w:val="24"/>
          <w:lang w:val="en-US"/>
        </w:rPr>
        <w:t xml:space="preserve">, M (2006) Repression and Reaction: Militant democracy and the radical right in Germany and France, </w:t>
      </w:r>
      <w:r w:rsidRPr="00161C1B">
        <w:rPr>
          <w:rFonts w:ascii="Times New Roman" w:hAnsi="Times New Roman" w:cs="Times New Roman"/>
          <w:i/>
          <w:sz w:val="24"/>
          <w:szCs w:val="24"/>
          <w:lang w:val="en-US"/>
        </w:rPr>
        <w:t>Patterns of Prejudice: 40:1, p. 25-44</w:t>
      </w:r>
    </w:p>
    <w:p w:rsidR="00D728D0" w:rsidRPr="007D0431" w:rsidRDefault="00D728D0" w:rsidP="00883DB3">
      <w:pPr>
        <w:spacing w:after="0" w:line="360" w:lineRule="auto"/>
        <w:rPr>
          <w:rFonts w:ascii="Times New Roman" w:hAnsi="Times New Roman"/>
          <w:sz w:val="24"/>
          <w:szCs w:val="24"/>
          <w:lang w:val="en-GB"/>
        </w:rPr>
      </w:pPr>
      <w:proofErr w:type="spellStart"/>
      <w:r w:rsidRPr="007D0431">
        <w:rPr>
          <w:rFonts w:ascii="Times New Roman" w:hAnsi="Times New Roman"/>
          <w:sz w:val="24"/>
          <w:szCs w:val="24"/>
          <w:lang w:val="en-GB"/>
        </w:rPr>
        <w:t>Mudde</w:t>
      </w:r>
      <w:proofErr w:type="spellEnd"/>
      <w:r>
        <w:rPr>
          <w:rFonts w:ascii="Times New Roman" w:hAnsi="Times New Roman"/>
          <w:sz w:val="24"/>
          <w:szCs w:val="24"/>
          <w:lang w:val="en-GB"/>
        </w:rPr>
        <w:t>, K (2004)</w:t>
      </w:r>
      <w:r w:rsidRPr="007D0431">
        <w:rPr>
          <w:rFonts w:ascii="Times New Roman" w:hAnsi="Times New Roman"/>
          <w:sz w:val="24"/>
          <w:szCs w:val="24"/>
          <w:lang w:val="en-GB"/>
        </w:rPr>
        <w:t xml:space="preserve"> ‘Defending democracy and the extreme right,’ in R </w:t>
      </w:r>
      <w:proofErr w:type="spellStart"/>
      <w:r w:rsidRPr="007D0431">
        <w:rPr>
          <w:rFonts w:ascii="Times New Roman" w:hAnsi="Times New Roman"/>
          <w:sz w:val="24"/>
          <w:szCs w:val="24"/>
          <w:lang w:val="en-GB"/>
        </w:rPr>
        <w:t>Eatwell</w:t>
      </w:r>
      <w:proofErr w:type="spellEnd"/>
      <w:r w:rsidRPr="007D0431">
        <w:rPr>
          <w:rFonts w:ascii="Times New Roman" w:hAnsi="Times New Roman"/>
          <w:sz w:val="24"/>
          <w:szCs w:val="24"/>
          <w:lang w:val="en-GB"/>
        </w:rPr>
        <w:t xml:space="preserve"> and C </w:t>
      </w:r>
      <w:proofErr w:type="spellStart"/>
      <w:r w:rsidRPr="007D0431">
        <w:rPr>
          <w:rFonts w:ascii="Times New Roman" w:hAnsi="Times New Roman"/>
          <w:sz w:val="24"/>
          <w:szCs w:val="24"/>
          <w:lang w:val="en-GB"/>
        </w:rPr>
        <w:t>Mudde</w:t>
      </w:r>
      <w:proofErr w:type="spellEnd"/>
      <w:r w:rsidRPr="007D0431">
        <w:rPr>
          <w:rFonts w:ascii="Times New Roman" w:hAnsi="Times New Roman"/>
          <w:sz w:val="24"/>
          <w:szCs w:val="24"/>
          <w:lang w:val="en-GB"/>
        </w:rPr>
        <w:t xml:space="preserve"> (</w:t>
      </w:r>
      <w:proofErr w:type="spellStart"/>
      <w:r w:rsidRPr="007D0431">
        <w:rPr>
          <w:rFonts w:ascii="Times New Roman" w:hAnsi="Times New Roman"/>
          <w:sz w:val="24"/>
          <w:szCs w:val="24"/>
          <w:lang w:val="en-GB"/>
        </w:rPr>
        <w:t>eds</w:t>
      </w:r>
      <w:proofErr w:type="spellEnd"/>
      <w:r w:rsidRPr="007D0431">
        <w:rPr>
          <w:rFonts w:ascii="Times New Roman" w:hAnsi="Times New Roman"/>
          <w:sz w:val="24"/>
          <w:szCs w:val="24"/>
          <w:lang w:val="en-GB"/>
        </w:rPr>
        <w:t>) Western Democracies and the Extreme Right Challenge (London, Routledge, 2004) at 197</w:t>
      </w:r>
    </w:p>
    <w:p w:rsidR="00161C1B" w:rsidRPr="00161C1B" w:rsidRDefault="00161C1B" w:rsidP="00D728D0">
      <w:pPr>
        <w:spacing w:after="0" w:line="360" w:lineRule="auto"/>
        <w:jc w:val="both"/>
        <w:rPr>
          <w:rFonts w:ascii="Times New Roman" w:hAnsi="Times New Roman" w:cs="Times New Roman"/>
          <w:sz w:val="24"/>
          <w:szCs w:val="24"/>
          <w:lang w:val="en-US"/>
        </w:rPr>
      </w:pPr>
      <w:proofErr w:type="gramStart"/>
      <w:r w:rsidRPr="00161C1B">
        <w:rPr>
          <w:rFonts w:ascii="Times New Roman" w:hAnsi="Times New Roman" w:cs="Times New Roman"/>
          <w:sz w:val="24"/>
          <w:szCs w:val="24"/>
          <w:lang w:val="en-US"/>
        </w:rPr>
        <w:t>Lane, J-E.</w:t>
      </w:r>
      <w:proofErr w:type="gramEnd"/>
      <w:r w:rsidRPr="00161C1B">
        <w:rPr>
          <w:rFonts w:ascii="Times New Roman" w:hAnsi="Times New Roman" w:cs="Times New Roman"/>
          <w:sz w:val="24"/>
          <w:szCs w:val="24"/>
          <w:lang w:val="en-US"/>
        </w:rPr>
        <w:t xml:space="preserve"> </w:t>
      </w:r>
      <w:proofErr w:type="gramStart"/>
      <w:r w:rsidRPr="00161C1B">
        <w:rPr>
          <w:rFonts w:ascii="Times New Roman" w:hAnsi="Times New Roman" w:cs="Times New Roman"/>
          <w:sz w:val="24"/>
          <w:szCs w:val="24"/>
          <w:lang w:val="en-US"/>
        </w:rPr>
        <w:t>and</w:t>
      </w:r>
      <w:proofErr w:type="gramEnd"/>
      <w:r w:rsidRPr="00161C1B">
        <w:rPr>
          <w:rFonts w:ascii="Times New Roman" w:hAnsi="Times New Roman" w:cs="Times New Roman"/>
          <w:sz w:val="24"/>
          <w:szCs w:val="24"/>
          <w:lang w:val="en-US"/>
        </w:rPr>
        <w:t xml:space="preserve"> </w:t>
      </w:r>
      <w:proofErr w:type="spellStart"/>
      <w:r w:rsidRPr="00161C1B">
        <w:rPr>
          <w:rFonts w:ascii="Times New Roman" w:hAnsi="Times New Roman" w:cs="Times New Roman"/>
          <w:sz w:val="24"/>
          <w:szCs w:val="24"/>
          <w:lang w:val="en-US"/>
        </w:rPr>
        <w:t>Ersson</w:t>
      </w:r>
      <w:proofErr w:type="spellEnd"/>
      <w:r w:rsidRPr="00161C1B">
        <w:rPr>
          <w:rFonts w:ascii="Times New Roman" w:hAnsi="Times New Roman" w:cs="Times New Roman"/>
          <w:sz w:val="24"/>
          <w:szCs w:val="24"/>
          <w:lang w:val="en-US"/>
        </w:rPr>
        <w:t xml:space="preserve">, S. (2007): “Party System Instability in Europe: Persistent Differences in Volatility between West and East?”, </w:t>
      </w:r>
      <w:r w:rsidRPr="00161C1B">
        <w:rPr>
          <w:rFonts w:ascii="Times New Roman" w:hAnsi="Times New Roman" w:cs="Times New Roman"/>
          <w:i/>
          <w:sz w:val="24"/>
          <w:szCs w:val="24"/>
          <w:lang w:val="en-US"/>
        </w:rPr>
        <w:t>Democratization</w:t>
      </w:r>
      <w:r w:rsidRPr="00161C1B">
        <w:rPr>
          <w:rFonts w:ascii="Times New Roman" w:hAnsi="Times New Roman" w:cs="Times New Roman"/>
          <w:sz w:val="24"/>
          <w:szCs w:val="24"/>
          <w:lang w:val="en-US"/>
        </w:rPr>
        <w:t>, v. 14, n. 1, pp. 92-110</w:t>
      </w:r>
    </w:p>
    <w:p w:rsidR="00161C1B" w:rsidRPr="003C3018" w:rsidRDefault="00161C1B" w:rsidP="003C3018">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US"/>
        </w:rPr>
        <w:t>Lijphart</w:t>
      </w:r>
      <w:proofErr w:type="spellEnd"/>
      <w:r w:rsidRPr="00161C1B">
        <w:rPr>
          <w:rFonts w:ascii="Times New Roman" w:hAnsi="Times New Roman" w:cs="Times New Roman"/>
          <w:sz w:val="24"/>
          <w:szCs w:val="24"/>
          <w:lang w:val="en-US"/>
        </w:rPr>
        <w:t xml:space="preserve">, A. (1994): </w:t>
      </w:r>
      <w:r w:rsidRPr="00161C1B">
        <w:rPr>
          <w:rFonts w:ascii="Times New Roman" w:hAnsi="Times New Roman" w:cs="Times New Roman"/>
          <w:i/>
          <w:sz w:val="24"/>
          <w:szCs w:val="24"/>
          <w:lang w:val="en-US"/>
        </w:rPr>
        <w:t xml:space="preserve">Electoral Systems and Party Systems: A Study of Twenty-Seven Democracies </w:t>
      </w:r>
      <w:r w:rsidRPr="003C3018">
        <w:rPr>
          <w:rFonts w:ascii="Times New Roman" w:hAnsi="Times New Roman" w:cs="Times New Roman"/>
          <w:i/>
          <w:sz w:val="24"/>
          <w:szCs w:val="24"/>
          <w:lang w:val="en-US"/>
        </w:rPr>
        <w:t>1945-1990</w:t>
      </w:r>
      <w:r w:rsidRPr="003C3018">
        <w:rPr>
          <w:rFonts w:ascii="Times New Roman" w:hAnsi="Times New Roman" w:cs="Times New Roman"/>
          <w:sz w:val="24"/>
          <w:szCs w:val="24"/>
          <w:lang w:val="en-US"/>
        </w:rPr>
        <w:t>. Oxford: Oxford University Press</w:t>
      </w:r>
    </w:p>
    <w:p w:rsidR="003C3018" w:rsidRPr="00883DB3" w:rsidRDefault="003C3018" w:rsidP="00883DB3">
      <w:pPr>
        <w:autoSpaceDE w:val="0"/>
        <w:autoSpaceDN w:val="0"/>
        <w:adjustRightInd w:val="0"/>
        <w:spacing w:after="0" w:line="360" w:lineRule="auto"/>
        <w:rPr>
          <w:rFonts w:ascii="Times New Roman" w:hAnsi="Times New Roman" w:cs="Times New Roman"/>
          <w:sz w:val="24"/>
          <w:szCs w:val="24"/>
          <w:lang w:val="en-US"/>
        </w:rPr>
      </w:pPr>
      <w:r w:rsidRPr="00883DB3">
        <w:rPr>
          <w:rFonts w:ascii="Times New Roman" w:hAnsi="Times New Roman" w:cs="Times New Roman"/>
          <w:sz w:val="24"/>
          <w:szCs w:val="24"/>
          <w:lang w:val="en-US"/>
        </w:rPr>
        <w:t xml:space="preserve">Linz, J., 1990. </w:t>
      </w:r>
      <w:proofErr w:type="gramStart"/>
      <w:r w:rsidRPr="00883DB3">
        <w:rPr>
          <w:rFonts w:ascii="Times New Roman" w:hAnsi="Times New Roman" w:cs="Times New Roman"/>
          <w:sz w:val="24"/>
          <w:szCs w:val="24"/>
          <w:lang w:val="en-US"/>
        </w:rPr>
        <w:t>Transitions to Democracy.</w:t>
      </w:r>
      <w:proofErr w:type="gramEnd"/>
      <w:r w:rsidRPr="00883DB3">
        <w:rPr>
          <w:rFonts w:ascii="Times New Roman" w:hAnsi="Times New Roman" w:cs="Times New Roman"/>
          <w:sz w:val="24"/>
          <w:szCs w:val="24"/>
          <w:lang w:val="en-US"/>
        </w:rPr>
        <w:t xml:space="preserve"> </w:t>
      </w:r>
      <w:proofErr w:type="spellStart"/>
      <w:r w:rsidRPr="00883DB3">
        <w:rPr>
          <w:rFonts w:ascii="Times New Roman" w:hAnsi="Times New Roman" w:cs="Times New Roman"/>
          <w:i/>
          <w:iCs/>
          <w:sz w:val="24"/>
          <w:szCs w:val="24"/>
          <w:lang w:val="en-US"/>
        </w:rPr>
        <w:t>TheWashington</w:t>
      </w:r>
      <w:proofErr w:type="spellEnd"/>
      <w:r w:rsidRPr="00883DB3">
        <w:rPr>
          <w:rFonts w:ascii="Times New Roman" w:hAnsi="Times New Roman" w:cs="Times New Roman"/>
          <w:i/>
          <w:iCs/>
          <w:sz w:val="24"/>
          <w:szCs w:val="24"/>
          <w:lang w:val="en-US"/>
        </w:rPr>
        <w:t xml:space="preserve"> Quarterly</w:t>
      </w:r>
      <w:r w:rsidRPr="00883DB3">
        <w:rPr>
          <w:rFonts w:ascii="Times New Roman" w:hAnsi="Times New Roman" w:cs="Times New Roman"/>
          <w:sz w:val="24"/>
          <w:szCs w:val="24"/>
          <w:lang w:val="en-US"/>
        </w:rPr>
        <w:t>, p 143-64.</w:t>
      </w:r>
    </w:p>
    <w:p w:rsidR="003C3018" w:rsidRPr="003C3018" w:rsidRDefault="003C3018" w:rsidP="00883DB3">
      <w:pPr>
        <w:autoSpaceDE w:val="0"/>
        <w:autoSpaceDN w:val="0"/>
        <w:adjustRightInd w:val="0"/>
        <w:spacing w:after="0" w:line="360" w:lineRule="auto"/>
        <w:rPr>
          <w:rFonts w:ascii="Times New Roman" w:hAnsi="Times New Roman" w:cs="Times New Roman"/>
          <w:sz w:val="24"/>
          <w:szCs w:val="24"/>
          <w:lang w:val="en-US"/>
        </w:rPr>
      </w:pPr>
      <w:proofErr w:type="gramStart"/>
      <w:r w:rsidRPr="00883DB3">
        <w:rPr>
          <w:rFonts w:ascii="Times New Roman" w:hAnsi="Times New Roman" w:cs="Times New Roman"/>
          <w:sz w:val="24"/>
          <w:szCs w:val="24"/>
          <w:lang w:val="en-US"/>
        </w:rPr>
        <w:t xml:space="preserve">Linz, J. and A. </w:t>
      </w:r>
      <w:proofErr w:type="spellStart"/>
      <w:r w:rsidRPr="00883DB3">
        <w:rPr>
          <w:rFonts w:ascii="Times New Roman" w:hAnsi="Times New Roman" w:cs="Times New Roman"/>
          <w:sz w:val="24"/>
          <w:szCs w:val="24"/>
          <w:lang w:val="en-US"/>
        </w:rPr>
        <w:t>Stepan</w:t>
      </w:r>
      <w:proofErr w:type="spellEnd"/>
      <w:r w:rsidRPr="00883DB3">
        <w:rPr>
          <w:rFonts w:ascii="Times New Roman" w:hAnsi="Times New Roman" w:cs="Times New Roman"/>
          <w:sz w:val="24"/>
          <w:szCs w:val="24"/>
          <w:lang w:val="en-US"/>
        </w:rPr>
        <w:t>, 1996.</w:t>
      </w:r>
      <w:proofErr w:type="gramEnd"/>
      <w:r w:rsidRPr="00883DB3">
        <w:rPr>
          <w:rFonts w:ascii="Times New Roman" w:hAnsi="Times New Roman" w:cs="Times New Roman"/>
          <w:sz w:val="24"/>
          <w:szCs w:val="24"/>
          <w:lang w:val="en-US"/>
        </w:rPr>
        <w:t xml:space="preserve"> </w:t>
      </w:r>
      <w:proofErr w:type="gramStart"/>
      <w:r w:rsidRPr="00883DB3">
        <w:rPr>
          <w:rFonts w:ascii="Times New Roman" w:hAnsi="Times New Roman" w:cs="Times New Roman"/>
          <w:sz w:val="24"/>
          <w:szCs w:val="24"/>
          <w:lang w:val="en-US"/>
        </w:rPr>
        <w:t>Towards Consolidated Democracies.</w:t>
      </w:r>
      <w:proofErr w:type="gramEnd"/>
      <w:r w:rsidRPr="00883DB3">
        <w:rPr>
          <w:rFonts w:ascii="Times New Roman" w:hAnsi="Times New Roman" w:cs="Times New Roman"/>
          <w:sz w:val="24"/>
          <w:szCs w:val="24"/>
          <w:lang w:val="en-US"/>
        </w:rPr>
        <w:t xml:space="preserve"> </w:t>
      </w:r>
      <w:r w:rsidRPr="00883DB3">
        <w:rPr>
          <w:rFonts w:ascii="Times New Roman" w:hAnsi="Times New Roman" w:cs="Times New Roman"/>
          <w:i/>
          <w:iCs/>
          <w:sz w:val="24"/>
          <w:szCs w:val="24"/>
          <w:lang w:val="en-US"/>
        </w:rPr>
        <w:t>Journal of Democracy</w:t>
      </w:r>
      <w:r w:rsidRPr="00883DB3">
        <w:rPr>
          <w:rFonts w:ascii="Times New Roman" w:hAnsi="Times New Roman" w:cs="Times New Roman"/>
          <w:sz w:val="24"/>
          <w:szCs w:val="24"/>
          <w:lang w:val="en-US"/>
        </w:rPr>
        <w:t>, 7(2), pp. 14-33</w:t>
      </w:r>
    </w:p>
    <w:p w:rsidR="00161C1B" w:rsidRPr="003C3018" w:rsidRDefault="00161C1B" w:rsidP="003C3018">
      <w:pPr>
        <w:spacing w:after="0" w:line="360" w:lineRule="auto"/>
        <w:jc w:val="both"/>
        <w:rPr>
          <w:rFonts w:ascii="Times New Roman" w:hAnsi="Times New Roman" w:cs="Times New Roman"/>
          <w:sz w:val="24"/>
          <w:szCs w:val="24"/>
          <w:lang w:val="en-US"/>
        </w:rPr>
      </w:pPr>
      <w:proofErr w:type="spellStart"/>
      <w:r w:rsidRPr="003C3018">
        <w:rPr>
          <w:rFonts w:ascii="Times New Roman" w:hAnsi="Times New Roman" w:cs="Times New Roman"/>
          <w:sz w:val="24"/>
          <w:szCs w:val="24"/>
          <w:lang w:val="en-US"/>
        </w:rPr>
        <w:t>Mair</w:t>
      </w:r>
      <w:proofErr w:type="spellEnd"/>
      <w:r w:rsidRPr="003C3018">
        <w:rPr>
          <w:rFonts w:ascii="Times New Roman" w:hAnsi="Times New Roman" w:cs="Times New Roman"/>
          <w:sz w:val="24"/>
          <w:szCs w:val="24"/>
          <w:lang w:val="en-US"/>
        </w:rPr>
        <w:t xml:space="preserve">, P. (1997): </w:t>
      </w:r>
      <w:r w:rsidRPr="003C3018">
        <w:rPr>
          <w:rFonts w:ascii="Times New Roman" w:hAnsi="Times New Roman" w:cs="Times New Roman"/>
          <w:i/>
          <w:iCs/>
          <w:sz w:val="24"/>
          <w:szCs w:val="24"/>
          <w:lang w:val="en-US"/>
        </w:rPr>
        <w:t xml:space="preserve">Party System Change. </w:t>
      </w:r>
      <w:proofErr w:type="gramStart"/>
      <w:r w:rsidRPr="003C3018">
        <w:rPr>
          <w:rFonts w:ascii="Times New Roman" w:hAnsi="Times New Roman" w:cs="Times New Roman"/>
          <w:i/>
          <w:iCs/>
          <w:sz w:val="24"/>
          <w:szCs w:val="24"/>
          <w:lang w:val="en-US"/>
        </w:rPr>
        <w:t>Approaches and Interpretations</w:t>
      </w:r>
      <w:r w:rsidRPr="003C3018">
        <w:rPr>
          <w:rFonts w:ascii="Times New Roman" w:hAnsi="Times New Roman" w:cs="Times New Roman"/>
          <w:sz w:val="24"/>
          <w:szCs w:val="24"/>
          <w:lang w:val="en-US"/>
        </w:rPr>
        <w:t>.</w:t>
      </w:r>
      <w:proofErr w:type="gramEnd"/>
      <w:r w:rsidRPr="003C3018">
        <w:rPr>
          <w:rFonts w:ascii="Times New Roman" w:hAnsi="Times New Roman" w:cs="Times New Roman"/>
          <w:sz w:val="24"/>
          <w:szCs w:val="24"/>
          <w:lang w:val="en-US"/>
        </w:rPr>
        <w:t xml:space="preserve"> Oxford: Clarendon Press</w:t>
      </w:r>
    </w:p>
    <w:p w:rsidR="003C3018" w:rsidRPr="003C3018" w:rsidRDefault="003C3018" w:rsidP="003C3018">
      <w:pPr>
        <w:autoSpaceDE w:val="0"/>
        <w:autoSpaceDN w:val="0"/>
        <w:adjustRightInd w:val="0"/>
        <w:spacing w:after="0" w:line="360" w:lineRule="auto"/>
        <w:rPr>
          <w:rFonts w:ascii="Times New Roman" w:hAnsi="Times New Roman" w:cs="Times New Roman"/>
          <w:sz w:val="24"/>
          <w:szCs w:val="24"/>
          <w:lang w:val="en-US"/>
        </w:rPr>
      </w:pPr>
      <w:proofErr w:type="gramStart"/>
      <w:r w:rsidRPr="003C3018">
        <w:rPr>
          <w:rFonts w:ascii="Times New Roman" w:hAnsi="Times New Roman" w:cs="Times New Roman"/>
          <w:sz w:val="24"/>
          <w:szCs w:val="24"/>
          <w:lang w:val="en-US"/>
        </w:rPr>
        <w:t>Merkel, W and A. Croissant, 2000.</w:t>
      </w:r>
      <w:proofErr w:type="gramEnd"/>
      <w:r w:rsidRPr="003C3018">
        <w:rPr>
          <w:rFonts w:ascii="Times New Roman" w:hAnsi="Times New Roman" w:cs="Times New Roman"/>
          <w:sz w:val="24"/>
          <w:szCs w:val="24"/>
          <w:lang w:val="en-US"/>
        </w:rPr>
        <w:t xml:space="preserve"> Defective Democracies: Concepts and Causes. </w:t>
      </w:r>
      <w:r w:rsidRPr="003C3018">
        <w:rPr>
          <w:rFonts w:ascii="Times New Roman" w:hAnsi="Times New Roman" w:cs="Times New Roman"/>
          <w:i/>
          <w:iCs/>
          <w:sz w:val="24"/>
          <w:szCs w:val="24"/>
          <w:lang w:val="en-US"/>
        </w:rPr>
        <w:t>Central European Political Science Review</w:t>
      </w:r>
      <w:r w:rsidRPr="003C3018">
        <w:rPr>
          <w:rFonts w:ascii="Times New Roman" w:hAnsi="Times New Roman" w:cs="Times New Roman"/>
          <w:sz w:val="24"/>
          <w:szCs w:val="24"/>
          <w:lang w:val="en-US"/>
        </w:rPr>
        <w:t>, 2, pp. 31-47.</w:t>
      </w:r>
    </w:p>
    <w:p w:rsidR="00161C1B" w:rsidRPr="003C3018" w:rsidRDefault="00161C1B" w:rsidP="003C3018">
      <w:pPr>
        <w:spacing w:after="0" w:line="360" w:lineRule="auto"/>
        <w:jc w:val="both"/>
        <w:rPr>
          <w:rFonts w:ascii="Times New Roman" w:hAnsi="Times New Roman" w:cs="Times New Roman"/>
          <w:sz w:val="24"/>
          <w:szCs w:val="24"/>
          <w:lang w:val="en-US"/>
        </w:rPr>
      </w:pPr>
      <w:r w:rsidRPr="003C3018">
        <w:rPr>
          <w:rFonts w:ascii="Times New Roman" w:hAnsi="Times New Roman" w:cs="Times New Roman"/>
          <w:sz w:val="24"/>
          <w:szCs w:val="24"/>
          <w:lang w:val="en-US"/>
        </w:rPr>
        <w:t xml:space="preserve">Müller, W. C. (1993): “The relevance of the state for party system change”, </w:t>
      </w:r>
      <w:r w:rsidRPr="003C3018">
        <w:rPr>
          <w:rFonts w:ascii="Times New Roman" w:hAnsi="Times New Roman" w:cs="Times New Roman"/>
          <w:i/>
          <w:sz w:val="24"/>
          <w:szCs w:val="24"/>
          <w:lang w:val="en-US"/>
        </w:rPr>
        <w:t>Journal of Theoretical Politics</w:t>
      </w:r>
      <w:r w:rsidRPr="003C3018">
        <w:rPr>
          <w:rFonts w:ascii="Times New Roman" w:hAnsi="Times New Roman" w:cs="Times New Roman"/>
          <w:sz w:val="24"/>
          <w:szCs w:val="24"/>
          <w:lang w:val="en-US"/>
        </w:rPr>
        <w:t>, v. 5, n. 4, pp. 419–454</w:t>
      </w:r>
    </w:p>
    <w:p w:rsidR="00161C1B" w:rsidRPr="00161C1B" w:rsidRDefault="00161C1B" w:rsidP="003C3018">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3C3018">
        <w:rPr>
          <w:rFonts w:ascii="Times New Roman" w:hAnsi="Times New Roman" w:cs="Times New Roman"/>
          <w:sz w:val="24"/>
          <w:szCs w:val="24"/>
          <w:lang w:val="en-US" w:eastAsia="en-GB"/>
        </w:rPr>
        <w:t>Navot</w:t>
      </w:r>
      <w:proofErr w:type="spellEnd"/>
      <w:r w:rsidRPr="003C3018">
        <w:rPr>
          <w:rFonts w:ascii="Times New Roman" w:hAnsi="Times New Roman" w:cs="Times New Roman"/>
          <w:sz w:val="24"/>
          <w:szCs w:val="24"/>
          <w:lang w:val="en-US" w:eastAsia="en-GB"/>
        </w:rPr>
        <w:t>, S. (2008</w:t>
      </w:r>
      <w:r w:rsidRPr="00161C1B">
        <w:rPr>
          <w:rFonts w:ascii="Times New Roman" w:hAnsi="Times New Roman" w:cs="Times New Roman"/>
          <w:sz w:val="24"/>
          <w:szCs w:val="24"/>
          <w:lang w:val="en-US" w:eastAsia="en-GB"/>
        </w:rPr>
        <w:t>) Fighting terrorism in the political arena: The banning of political parties.</w:t>
      </w:r>
      <w:proofErr w:type="gramEnd"/>
      <w:r w:rsidRPr="00161C1B">
        <w:rPr>
          <w:rFonts w:ascii="Times New Roman" w:hAnsi="Times New Roman" w:cs="Times New Roman"/>
          <w:sz w:val="24"/>
          <w:szCs w:val="24"/>
          <w:lang w:val="en-US" w:eastAsia="en-GB"/>
        </w:rPr>
        <w:t xml:space="preserve"> </w:t>
      </w:r>
      <w:r w:rsidRPr="00161C1B">
        <w:rPr>
          <w:rFonts w:ascii="Times New Roman" w:hAnsi="Times New Roman" w:cs="Times New Roman"/>
          <w:i/>
          <w:sz w:val="24"/>
          <w:szCs w:val="24"/>
          <w:lang w:val="en-US" w:eastAsia="en-GB"/>
        </w:rPr>
        <w:t>Party Politics</w:t>
      </w:r>
      <w:r w:rsidRPr="00161C1B">
        <w:rPr>
          <w:rFonts w:ascii="Times New Roman" w:hAnsi="Times New Roman" w:cs="Times New Roman"/>
          <w:sz w:val="24"/>
          <w:szCs w:val="24"/>
          <w:lang w:val="en-US" w:eastAsia="en-GB"/>
        </w:rPr>
        <w:t>, 14(6): 745–762.</w:t>
      </w:r>
    </w:p>
    <w:p w:rsidR="00161C1B" w:rsidRPr="00161C1B" w:rsidRDefault="00161C1B" w:rsidP="00161C1B">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US"/>
        </w:rPr>
        <w:t>Niesen</w:t>
      </w:r>
      <w:proofErr w:type="spellEnd"/>
      <w:r w:rsidRPr="00161C1B">
        <w:rPr>
          <w:rFonts w:ascii="Times New Roman" w:hAnsi="Times New Roman" w:cs="Times New Roman"/>
          <w:sz w:val="24"/>
          <w:szCs w:val="24"/>
          <w:lang w:val="en-US"/>
        </w:rPr>
        <w:t>, P (2002) ‘Anti-extremism, negative republicanism, civil society: Three paradigms for Banning Political Parties’, German Law Journal, 7, p. 249-286)</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lastRenderedPageBreak/>
        <w:t xml:space="preserve">Pedersen, M.N. (1979): “The Dynamics of European Party Systems: Changing Patterns of Electoral Volatility”, </w:t>
      </w:r>
      <w:r w:rsidRPr="00161C1B">
        <w:rPr>
          <w:rFonts w:ascii="Times New Roman" w:hAnsi="Times New Roman" w:cs="Times New Roman"/>
          <w:i/>
          <w:sz w:val="24"/>
          <w:szCs w:val="24"/>
          <w:lang w:val="en-US"/>
        </w:rPr>
        <w:t>European Journal of Political Research</w:t>
      </w:r>
      <w:r w:rsidRPr="00161C1B">
        <w:rPr>
          <w:rFonts w:ascii="Times New Roman" w:hAnsi="Times New Roman" w:cs="Times New Roman"/>
          <w:sz w:val="24"/>
          <w:szCs w:val="24"/>
          <w:lang w:val="en-US"/>
        </w:rPr>
        <w:t>, v. 7, pp. 1-26</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Rose, R. and Mackie, T. (1988) “Do Parties Persist or Fail? The Big Trade-off Facing</w:t>
      </w:r>
    </w:p>
    <w:p w:rsidR="00161C1B" w:rsidRPr="00161C1B" w:rsidRDefault="00161C1B" w:rsidP="00161C1B">
      <w:pPr>
        <w:spacing w:after="0" w:line="360" w:lineRule="auto"/>
        <w:jc w:val="both"/>
        <w:rPr>
          <w:rFonts w:ascii="Times New Roman" w:hAnsi="Times New Roman" w:cs="Times New Roman"/>
          <w:i/>
          <w:sz w:val="24"/>
          <w:szCs w:val="24"/>
          <w:lang w:val="en-US"/>
        </w:rPr>
      </w:pPr>
      <w:r w:rsidRPr="00161C1B">
        <w:rPr>
          <w:rFonts w:ascii="Times New Roman" w:hAnsi="Times New Roman" w:cs="Times New Roman"/>
          <w:sz w:val="24"/>
          <w:szCs w:val="24"/>
          <w:lang w:val="en-US"/>
        </w:rPr>
        <w:t xml:space="preserve">Organizations’, in Kay Lawson and Peter H. </w:t>
      </w:r>
      <w:proofErr w:type="spellStart"/>
      <w:r w:rsidRPr="00161C1B">
        <w:rPr>
          <w:rFonts w:ascii="Times New Roman" w:hAnsi="Times New Roman" w:cs="Times New Roman"/>
          <w:sz w:val="24"/>
          <w:szCs w:val="24"/>
          <w:lang w:val="en-US"/>
        </w:rPr>
        <w:t>Merkl</w:t>
      </w:r>
      <w:proofErr w:type="spellEnd"/>
      <w:r w:rsidRPr="00161C1B">
        <w:rPr>
          <w:rFonts w:ascii="Times New Roman" w:hAnsi="Times New Roman" w:cs="Times New Roman"/>
          <w:sz w:val="24"/>
          <w:szCs w:val="24"/>
          <w:lang w:val="en-US"/>
        </w:rPr>
        <w:t xml:space="preserve"> (eds.), </w:t>
      </w:r>
      <w:r w:rsidRPr="00161C1B">
        <w:rPr>
          <w:rFonts w:ascii="Times New Roman" w:hAnsi="Times New Roman" w:cs="Times New Roman"/>
          <w:i/>
          <w:sz w:val="24"/>
          <w:szCs w:val="24"/>
          <w:lang w:val="en-US"/>
        </w:rPr>
        <w:t>When Parties Fail: Emerging</w:t>
      </w:r>
    </w:p>
    <w:p w:rsidR="00161C1B" w:rsidRPr="00161C1B" w:rsidRDefault="00161C1B" w:rsidP="00161C1B">
      <w:pPr>
        <w:spacing w:after="0" w:line="360" w:lineRule="auto"/>
        <w:jc w:val="both"/>
        <w:rPr>
          <w:rFonts w:ascii="Times New Roman" w:hAnsi="Times New Roman" w:cs="Times New Roman"/>
          <w:sz w:val="24"/>
          <w:szCs w:val="24"/>
          <w:lang w:val="en-US"/>
        </w:rPr>
      </w:pPr>
      <w:proofErr w:type="gramStart"/>
      <w:r w:rsidRPr="00161C1B">
        <w:rPr>
          <w:rFonts w:ascii="Times New Roman" w:hAnsi="Times New Roman" w:cs="Times New Roman"/>
          <w:i/>
          <w:sz w:val="24"/>
          <w:szCs w:val="24"/>
          <w:lang w:val="en-US"/>
        </w:rPr>
        <w:t>Alternative Organizations</w:t>
      </w:r>
      <w:r w:rsidRPr="00161C1B">
        <w:rPr>
          <w:rFonts w:ascii="Times New Roman" w:hAnsi="Times New Roman" w:cs="Times New Roman"/>
          <w:sz w:val="24"/>
          <w:szCs w:val="24"/>
          <w:lang w:val="en-US"/>
        </w:rPr>
        <w:t>.</w:t>
      </w:r>
      <w:proofErr w:type="gramEnd"/>
      <w:r w:rsidRPr="00161C1B">
        <w:rPr>
          <w:rFonts w:ascii="Times New Roman" w:hAnsi="Times New Roman" w:cs="Times New Roman"/>
          <w:sz w:val="24"/>
          <w:szCs w:val="24"/>
          <w:lang w:val="en-US"/>
        </w:rPr>
        <w:t xml:space="preserve"> Princeton, NJ: Princeton University Press</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Mainwaring, S. and Scully, T. (1995): </w:t>
      </w:r>
      <w:r w:rsidRPr="00161C1B">
        <w:rPr>
          <w:rFonts w:ascii="Times New Roman" w:hAnsi="Times New Roman" w:cs="Times New Roman"/>
          <w:i/>
          <w:sz w:val="24"/>
          <w:szCs w:val="24"/>
          <w:lang w:val="en-US"/>
        </w:rPr>
        <w:t>Building Democratic Institutions: Party Systems in Latin America</w:t>
      </w:r>
      <w:r w:rsidRPr="00161C1B">
        <w:rPr>
          <w:rFonts w:ascii="Times New Roman" w:hAnsi="Times New Roman" w:cs="Times New Roman"/>
          <w:sz w:val="24"/>
          <w:szCs w:val="24"/>
          <w:lang w:val="en-US"/>
        </w:rPr>
        <w:t>. Stanford, CA: Stanford University Press</w:t>
      </w:r>
    </w:p>
    <w:p w:rsidR="00161C1B" w:rsidRPr="00161C1B" w:rsidRDefault="00161C1B" w:rsidP="00161C1B">
      <w:pPr>
        <w:spacing w:after="0" w:line="360" w:lineRule="auto"/>
        <w:jc w:val="both"/>
        <w:rPr>
          <w:rFonts w:ascii="Times New Roman" w:hAnsi="Times New Roman" w:cs="Times New Roman"/>
          <w:sz w:val="24"/>
          <w:szCs w:val="24"/>
          <w:lang w:val="en-US" w:eastAsia="en-GB"/>
        </w:rPr>
      </w:pPr>
      <w:proofErr w:type="spellStart"/>
      <w:r w:rsidRPr="00161C1B">
        <w:rPr>
          <w:rFonts w:ascii="Times New Roman" w:hAnsi="Times New Roman" w:cs="Times New Roman"/>
          <w:sz w:val="24"/>
          <w:szCs w:val="24"/>
          <w:lang w:val="en-US" w:eastAsia="en-GB"/>
        </w:rPr>
        <w:t>Sajó</w:t>
      </w:r>
      <w:proofErr w:type="spellEnd"/>
      <w:r w:rsidRPr="00161C1B">
        <w:rPr>
          <w:rFonts w:ascii="Times New Roman" w:hAnsi="Times New Roman" w:cs="Times New Roman"/>
          <w:sz w:val="24"/>
          <w:szCs w:val="24"/>
          <w:lang w:val="en-US" w:eastAsia="en-GB"/>
        </w:rPr>
        <w:t>, A. (ed.) (2004) Militant Democracy. Utrecht, the Netherlands: Eleven.</w:t>
      </w:r>
    </w:p>
    <w:p w:rsidR="00161C1B" w:rsidRPr="00161C1B" w:rsidRDefault="00161C1B" w:rsidP="00161C1B">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US"/>
        </w:rPr>
        <w:t>Sartori</w:t>
      </w:r>
      <w:proofErr w:type="spellEnd"/>
      <w:r w:rsidRPr="00161C1B">
        <w:rPr>
          <w:rFonts w:ascii="Times New Roman" w:hAnsi="Times New Roman" w:cs="Times New Roman"/>
          <w:sz w:val="24"/>
          <w:szCs w:val="24"/>
          <w:lang w:val="en-US"/>
        </w:rPr>
        <w:t xml:space="preserve">, G. (1976): </w:t>
      </w:r>
      <w:r w:rsidRPr="00161C1B">
        <w:rPr>
          <w:rFonts w:ascii="Times New Roman" w:hAnsi="Times New Roman" w:cs="Times New Roman"/>
          <w:i/>
          <w:iCs/>
          <w:sz w:val="24"/>
          <w:szCs w:val="24"/>
          <w:lang w:val="en-US"/>
        </w:rPr>
        <w:t>Parties and Party Systems. A Framework for Analysis, Volume I</w:t>
      </w:r>
      <w:r w:rsidRPr="00161C1B">
        <w:rPr>
          <w:rFonts w:ascii="Times New Roman" w:hAnsi="Times New Roman" w:cs="Times New Roman"/>
          <w:sz w:val="24"/>
          <w:szCs w:val="24"/>
          <w:lang w:val="en-US"/>
        </w:rPr>
        <w:t>. Cambridge: Cambridge University Press</w:t>
      </w:r>
    </w:p>
    <w:p w:rsidR="00161C1B" w:rsidRPr="00161C1B" w:rsidRDefault="00161C1B" w:rsidP="00161C1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Smith, G. (1986) Democracy in Western Germany, Gower, </w:t>
      </w:r>
      <w:proofErr w:type="spellStart"/>
      <w:r w:rsidRPr="00161C1B">
        <w:rPr>
          <w:rFonts w:ascii="Times New Roman" w:hAnsi="Times New Roman" w:cs="Times New Roman"/>
          <w:sz w:val="24"/>
          <w:szCs w:val="24"/>
          <w:lang w:val="en-US"/>
        </w:rPr>
        <w:t>Aldershot</w:t>
      </w:r>
      <w:proofErr w:type="spellEnd"/>
      <w:r w:rsidRPr="00161C1B">
        <w:rPr>
          <w:rFonts w:ascii="Times New Roman" w:hAnsi="Times New Roman" w:cs="Times New Roman"/>
          <w:sz w:val="24"/>
          <w:szCs w:val="24"/>
          <w:lang w:val="en-US"/>
        </w:rPr>
        <w:t>.</w:t>
      </w:r>
    </w:p>
    <w:p w:rsidR="00161C1B" w:rsidRPr="00161C1B" w:rsidRDefault="00161C1B" w:rsidP="00161C1B">
      <w:pPr>
        <w:spacing w:after="0" w:line="360" w:lineRule="auto"/>
        <w:jc w:val="both"/>
        <w:rPr>
          <w:rFonts w:ascii="Times New Roman" w:hAnsi="Times New Roman" w:cs="Times New Roman"/>
          <w:sz w:val="24"/>
          <w:szCs w:val="24"/>
          <w:lang w:val="en-US"/>
        </w:rPr>
      </w:pPr>
      <w:proofErr w:type="spellStart"/>
      <w:r w:rsidRPr="00161C1B">
        <w:rPr>
          <w:rFonts w:ascii="Times New Roman" w:hAnsi="Times New Roman" w:cs="Times New Roman"/>
          <w:sz w:val="24"/>
          <w:szCs w:val="24"/>
          <w:lang w:val="en-US"/>
        </w:rPr>
        <w:t>Taleski</w:t>
      </w:r>
      <w:proofErr w:type="spellEnd"/>
      <w:r w:rsidRPr="00161C1B">
        <w:rPr>
          <w:rFonts w:ascii="Times New Roman" w:hAnsi="Times New Roman" w:cs="Times New Roman"/>
          <w:sz w:val="24"/>
          <w:szCs w:val="24"/>
          <w:lang w:val="en-US"/>
        </w:rPr>
        <w:t xml:space="preserve">, D. and Casal </w:t>
      </w:r>
      <w:proofErr w:type="spellStart"/>
      <w:r w:rsidRPr="00161C1B">
        <w:rPr>
          <w:rFonts w:ascii="Times New Roman" w:hAnsi="Times New Roman" w:cs="Times New Roman"/>
          <w:sz w:val="24"/>
          <w:szCs w:val="24"/>
          <w:lang w:val="en-US"/>
        </w:rPr>
        <w:t>Bértoa</w:t>
      </w:r>
      <w:proofErr w:type="spellEnd"/>
      <w:r w:rsidRPr="00161C1B">
        <w:rPr>
          <w:rFonts w:ascii="Times New Roman" w:hAnsi="Times New Roman" w:cs="Times New Roman"/>
          <w:sz w:val="24"/>
          <w:szCs w:val="24"/>
          <w:lang w:val="en-US"/>
        </w:rPr>
        <w:t xml:space="preserve">, F. (2014): “Party Regulation and Party System Development in Macedonia (1990-2012)”, </w:t>
      </w:r>
      <w:proofErr w:type="gramStart"/>
      <w:r w:rsidRPr="00161C1B">
        <w:rPr>
          <w:rFonts w:ascii="Times New Roman" w:hAnsi="Times New Roman" w:cs="Times New Roman"/>
          <w:i/>
          <w:sz w:val="24"/>
          <w:szCs w:val="24"/>
          <w:lang w:val="en-US" w:eastAsia="es-ES_tradnl"/>
        </w:rPr>
        <w:t>The</w:t>
      </w:r>
      <w:proofErr w:type="gramEnd"/>
      <w:r w:rsidRPr="00161C1B">
        <w:rPr>
          <w:rFonts w:ascii="Times New Roman" w:hAnsi="Times New Roman" w:cs="Times New Roman"/>
          <w:i/>
          <w:sz w:val="24"/>
          <w:szCs w:val="24"/>
          <w:lang w:val="en-US" w:eastAsia="es-ES_tradnl"/>
        </w:rPr>
        <w:t xml:space="preserve"> Legal Regulation of Political Parties Working Paper Series</w:t>
      </w:r>
      <w:r w:rsidRPr="00161C1B">
        <w:rPr>
          <w:rFonts w:ascii="Times New Roman" w:hAnsi="Times New Roman" w:cs="Times New Roman"/>
          <w:sz w:val="24"/>
          <w:szCs w:val="24"/>
          <w:lang w:val="en-US" w:eastAsia="es-ES_tradnl"/>
        </w:rPr>
        <w:t xml:space="preserve"> (n. 39)</w:t>
      </w:r>
      <w:r w:rsidRPr="00161C1B">
        <w:rPr>
          <w:rFonts w:ascii="Times New Roman" w:hAnsi="Times New Roman" w:cs="Times New Roman"/>
          <w:sz w:val="24"/>
          <w:szCs w:val="24"/>
          <w:lang w:val="en-US"/>
        </w:rPr>
        <w:t xml:space="preserve"> </w:t>
      </w:r>
    </w:p>
    <w:p w:rsidR="00161C1B" w:rsidRPr="00161C1B" w:rsidRDefault="00161C1B" w:rsidP="00D728D0">
      <w:pPr>
        <w:spacing w:after="0" w:line="360" w:lineRule="auto"/>
        <w:jc w:val="both"/>
        <w:rPr>
          <w:rFonts w:ascii="Times New Roman" w:hAnsi="Times New Roman" w:cs="Times New Roman"/>
          <w:color w:val="000000"/>
          <w:sz w:val="24"/>
          <w:szCs w:val="24"/>
          <w:shd w:val="clear" w:color="auto" w:fill="FFFFFF"/>
          <w:lang w:val="en-US"/>
        </w:rPr>
      </w:pPr>
      <w:proofErr w:type="spellStart"/>
      <w:r w:rsidRPr="00161C1B">
        <w:rPr>
          <w:rFonts w:ascii="Times New Roman" w:hAnsi="Times New Roman" w:cs="Times New Roman"/>
          <w:sz w:val="24"/>
          <w:szCs w:val="24"/>
          <w:lang w:val="en-US"/>
        </w:rPr>
        <w:t>Tavits</w:t>
      </w:r>
      <w:proofErr w:type="spellEnd"/>
      <w:r w:rsidRPr="00161C1B">
        <w:rPr>
          <w:rFonts w:ascii="Times New Roman" w:hAnsi="Times New Roman" w:cs="Times New Roman"/>
          <w:sz w:val="24"/>
          <w:szCs w:val="24"/>
          <w:lang w:val="en-US"/>
        </w:rPr>
        <w:t xml:space="preserve">, M. (2008): “On the Linkage between Electoral Volatility and Party System Instability in Central and Eastern Europe”, </w:t>
      </w:r>
      <w:r w:rsidRPr="00161C1B">
        <w:rPr>
          <w:rStyle w:val="Emphasis"/>
          <w:rFonts w:ascii="Times New Roman" w:hAnsi="Times New Roman" w:cs="Times New Roman"/>
          <w:color w:val="000000"/>
          <w:sz w:val="24"/>
          <w:szCs w:val="24"/>
          <w:shd w:val="clear" w:color="auto" w:fill="FFFFFF"/>
          <w:lang w:val="en-US"/>
        </w:rPr>
        <w:t>European Journal of Political Research</w:t>
      </w:r>
      <w:r w:rsidRPr="00161C1B">
        <w:rPr>
          <w:rFonts w:ascii="Times New Roman" w:hAnsi="Times New Roman" w:cs="Times New Roman"/>
          <w:color w:val="000000"/>
          <w:sz w:val="24"/>
          <w:szCs w:val="24"/>
          <w:shd w:val="clear" w:color="auto" w:fill="FFFFFF"/>
          <w:lang w:val="en-US"/>
        </w:rPr>
        <w:t>, 47(5): 537-555</w:t>
      </w:r>
    </w:p>
    <w:p w:rsidR="00D728D0" w:rsidRDefault="00D728D0" w:rsidP="002F77FB">
      <w:pPr>
        <w:spacing w:after="0" w:line="360" w:lineRule="auto"/>
        <w:rPr>
          <w:rFonts w:ascii="Times New Roman" w:hAnsi="Times New Roman"/>
          <w:sz w:val="24"/>
          <w:szCs w:val="24"/>
          <w:lang w:val="en-GB"/>
        </w:rPr>
      </w:pPr>
      <w:r w:rsidRPr="007D0431">
        <w:rPr>
          <w:rFonts w:ascii="Times New Roman" w:hAnsi="Times New Roman"/>
          <w:sz w:val="24"/>
          <w:szCs w:val="24"/>
          <w:lang w:val="en-GB"/>
        </w:rPr>
        <w:t xml:space="preserve">M </w:t>
      </w:r>
      <w:proofErr w:type="spellStart"/>
      <w:r w:rsidRPr="007D0431">
        <w:rPr>
          <w:rFonts w:ascii="Times New Roman" w:hAnsi="Times New Roman"/>
          <w:sz w:val="24"/>
          <w:szCs w:val="24"/>
          <w:lang w:val="en-GB"/>
        </w:rPr>
        <w:t>Thiel</w:t>
      </w:r>
      <w:proofErr w:type="spellEnd"/>
      <w:r w:rsidRPr="007D0431">
        <w:rPr>
          <w:rFonts w:ascii="Times New Roman" w:hAnsi="Times New Roman"/>
          <w:sz w:val="24"/>
          <w:szCs w:val="24"/>
          <w:lang w:val="en-GB"/>
        </w:rPr>
        <w:t xml:space="preserve"> </w:t>
      </w:r>
      <w:proofErr w:type="gramStart"/>
      <w:r w:rsidRPr="007D0431">
        <w:rPr>
          <w:rFonts w:ascii="Times New Roman" w:hAnsi="Times New Roman"/>
          <w:i/>
          <w:sz w:val="24"/>
          <w:szCs w:val="24"/>
          <w:lang w:val="en-GB"/>
        </w:rPr>
        <w:t>The</w:t>
      </w:r>
      <w:proofErr w:type="gramEnd"/>
      <w:r w:rsidRPr="007D0431">
        <w:rPr>
          <w:rFonts w:ascii="Times New Roman" w:hAnsi="Times New Roman"/>
          <w:i/>
          <w:sz w:val="24"/>
          <w:szCs w:val="24"/>
          <w:lang w:val="en-GB"/>
        </w:rPr>
        <w:t xml:space="preserve"> Militant Democracy Principle in Modern Democracies</w:t>
      </w:r>
      <w:r w:rsidRPr="007D0431">
        <w:rPr>
          <w:rFonts w:ascii="Times New Roman" w:hAnsi="Times New Roman"/>
          <w:sz w:val="24"/>
          <w:szCs w:val="24"/>
          <w:lang w:val="en-GB"/>
        </w:rPr>
        <w:t xml:space="preserve"> (Farnham, Surrey, </w:t>
      </w:r>
      <w:proofErr w:type="spellStart"/>
      <w:r w:rsidRPr="007D0431">
        <w:rPr>
          <w:rFonts w:ascii="Times New Roman" w:hAnsi="Times New Roman"/>
          <w:sz w:val="24"/>
          <w:szCs w:val="24"/>
          <w:lang w:val="en-GB"/>
        </w:rPr>
        <w:t>Ashgate</w:t>
      </w:r>
      <w:proofErr w:type="spellEnd"/>
      <w:r w:rsidRPr="007D0431">
        <w:rPr>
          <w:rFonts w:ascii="Times New Roman" w:hAnsi="Times New Roman"/>
          <w:sz w:val="24"/>
          <w:szCs w:val="24"/>
          <w:lang w:val="en-GB"/>
        </w:rPr>
        <w:t>, 2009).</w:t>
      </w:r>
    </w:p>
    <w:p w:rsidR="00161C1B" w:rsidRPr="003C3018" w:rsidRDefault="00161C1B" w:rsidP="002F77FB">
      <w:pPr>
        <w:spacing w:after="0" w:line="360" w:lineRule="auto"/>
        <w:rPr>
          <w:rStyle w:val="Strong"/>
          <w:rFonts w:ascii="Times New Roman" w:hAnsi="Times New Roman"/>
          <w:b w:val="0"/>
          <w:sz w:val="24"/>
          <w:szCs w:val="24"/>
          <w:lang w:val="en-US"/>
        </w:rPr>
      </w:pPr>
      <w:r w:rsidRPr="00161C1B">
        <w:rPr>
          <w:rFonts w:ascii="Times New Roman" w:hAnsi="Times New Roman" w:cs="Times New Roman"/>
          <w:sz w:val="24"/>
          <w:szCs w:val="24"/>
          <w:lang w:val="en-US"/>
        </w:rPr>
        <w:t>Tilly, C (2005) “Repression, Mobilization and Explanation”, in</w:t>
      </w:r>
      <w:r w:rsidRPr="00161C1B">
        <w:rPr>
          <w:rFonts w:ascii="Times New Roman" w:hAnsi="Times New Roman" w:cs="Times New Roman"/>
          <w:b/>
          <w:sz w:val="24"/>
          <w:szCs w:val="24"/>
          <w:lang w:val="en-US"/>
        </w:rPr>
        <w:t xml:space="preserve"> </w:t>
      </w:r>
      <w:r w:rsidRPr="003C3018">
        <w:rPr>
          <w:rStyle w:val="Strong"/>
          <w:rFonts w:ascii="Times New Roman" w:hAnsi="Times New Roman"/>
          <w:b w:val="0"/>
          <w:sz w:val="24"/>
          <w:szCs w:val="24"/>
          <w:lang w:val="en-US"/>
        </w:rPr>
        <w:t xml:space="preserve">Christian Davenport, Hank Johnston, and Carol Mueller, eds., </w:t>
      </w:r>
      <w:r w:rsidRPr="003C3018">
        <w:rPr>
          <w:rStyle w:val="Strong"/>
          <w:rFonts w:ascii="Times New Roman" w:hAnsi="Times New Roman"/>
          <w:b w:val="0"/>
          <w:i/>
          <w:sz w:val="24"/>
          <w:szCs w:val="24"/>
          <w:lang w:val="en-US"/>
        </w:rPr>
        <w:t>Repression and Mobilization</w:t>
      </w:r>
      <w:r w:rsidRPr="003C3018">
        <w:rPr>
          <w:rStyle w:val="Strong"/>
          <w:rFonts w:ascii="Times New Roman" w:hAnsi="Times New Roman"/>
          <w:b w:val="0"/>
          <w:sz w:val="24"/>
          <w:szCs w:val="24"/>
          <w:lang w:val="en-US"/>
        </w:rPr>
        <w:t xml:space="preserve"> (</w:t>
      </w:r>
      <w:r w:rsidRPr="003C3018">
        <w:rPr>
          <w:rFonts w:ascii="Times New Roman" w:hAnsi="Times New Roman" w:cs="Times New Roman"/>
          <w:sz w:val="24"/>
          <w:szCs w:val="24"/>
          <w:lang w:val="en-US"/>
        </w:rPr>
        <w:t>Minneapolis:</w:t>
      </w:r>
      <w:r w:rsidRPr="003C3018">
        <w:rPr>
          <w:rFonts w:ascii="Times New Roman" w:hAnsi="Times New Roman" w:cs="Times New Roman"/>
          <w:b/>
          <w:sz w:val="24"/>
          <w:szCs w:val="24"/>
          <w:lang w:val="en-US"/>
        </w:rPr>
        <w:t xml:space="preserve"> </w:t>
      </w:r>
      <w:r w:rsidRPr="003C3018">
        <w:rPr>
          <w:rStyle w:val="Strong"/>
          <w:rFonts w:ascii="Times New Roman" w:hAnsi="Times New Roman"/>
          <w:b w:val="0"/>
          <w:sz w:val="24"/>
          <w:szCs w:val="24"/>
          <w:lang w:val="en-US"/>
        </w:rPr>
        <w:t xml:space="preserve">University of Minnesota Press). </w:t>
      </w:r>
    </w:p>
    <w:p w:rsidR="00161C1B" w:rsidRPr="003C3018" w:rsidRDefault="00161C1B" w:rsidP="002F77FB">
      <w:pPr>
        <w:spacing w:after="0" w:line="360" w:lineRule="auto"/>
        <w:jc w:val="both"/>
        <w:rPr>
          <w:rStyle w:val="Strong"/>
          <w:rFonts w:ascii="Times New Roman" w:hAnsi="Times New Roman"/>
          <w:b w:val="0"/>
          <w:sz w:val="24"/>
          <w:szCs w:val="24"/>
          <w:lang w:val="en-US"/>
        </w:rPr>
      </w:pPr>
      <w:r w:rsidRPr="003C3018">
        <w:rPr>
          <w:rStyle w:val="Strong"/>
          <w:rFonts w:ascii="Times New Roman" w:hAnsi="Times New Roman"/>
          <w:b w:val="0"/>
          <w:sz w:val="24"/>
          <w:szCs w:val="24"/>
          <w:lang w:val="en-US"/>
        </w:rPr>
        <w:t>Ware, A. (1996) Political Parties and Party systems (Oxford UP)</w:t>
      </w:r>
    </w:p>
    <w:p w:rsidR="00161C1B" w:rsidRPr="00161C1B" w:rsidRDefault="00161C1B" w:rsidP="002F77FB">
      <w:pPr>
        <w:spacing w:after="0" w:line="360" w:lineRule="auto"/>
        <w:jc w:val="both"/>
        <w:rPr>
          <w:rFonts w:ascii="Times New Roman" w:hAnsi="Times New Roman" w:cs="Times New Roman"/>
          <w:sz w:val="24"/>
          <w:szCs w:val="24"/>
          <w:lang w:val="en-US"/>
        </w:rPr>
      </w:pPr>
      <w:r w:rsidRPr="00161C1B">
        <w:rPr>
          <w:rFonts w:ascii="Times New Roman" w:hAnsi="Times New Roman" w:cs="Times New Roman"/>
          <w:sz w:val="24"/>
          <w:szCs w:val="24"/>
          <w:lang w:val="en-US"/>
        </w:rPr>
        <w:t xml:space="preserve">White, J. K (2006) </w:t>
      </w:r>
      <w:proofErr w:type="gramStart"/>
      <w:r w:rsidRPr="00161C1B">
        <w:rPr>
          <w:rFonts w:ascii="Times New Roman" w:hAnsi="Times New Roman" w:cs="Times New Roman"/>
          <w:sz w:val="24"/>
          <w:szCs w:val="24"/>
          <w:lang w:val="en-US"/>
        </w:rPr>
        <w:t>What</w:t>
      </w:r>
      <w:proofErr w:type="gramEnd"/>
      <w:r w:rsidRPr="00161C1B">
        <w:rPr>
          <w:rFonts w:ascii="Times New Roman" w:hAnsi="Times New Roman" w:cs="Times New Roman"/>
          <w:sz w:val="24"/>
          <w:szCs w:val="24"/>
          <w:lang w:val="en-US"/>
        </w:rPr>
        <w:t xml:space="preserve"> is a political party? In Katz, R and </w:t>
      </w:r>
      <w:proofErr w:type="spellStart"/>
      <w:r w:rsidRPr="00161C1B">
        <w:rPr>
          <w:rFonts w:ascii="Times New Roman" w:hAnsi="Times New Roman" w:cs="Times New Roman"/>
          <w:sz w:val="24"/>
          <w:szCs w:val="24"/>
          <w:lang w:val="en-US"/>
        </w:rPr>
        <w:t>Crotty</w:t>
      </w:r>
      <w:proofErr w:type="spellEnd"/>
      <w:r w:rsidRPr="00161C1B">
        <w:rPr>
          <w:rFonts w:ascii="Times New Roman" w:hAnsi="Times New Roman" w:cs="Times New Roman"/>
          <w:sz w:val="24"/>
          <w:szCs w:val="24"/>
          <w:lang w:val="en-US"/>
        </w:rPr>
        <w:t>, W (</w:t>
      </w:r>
      <w:proofErr w:type="spellStart"/>
      <w:proofErr w:type="gramStart"/>
      <w:r w:rsidRPr="00161C1B">
        <w:rPr>
          <w:rFonts w:ascii="Times New Roman" w:hAnsi="Times New Roman" w:cs="Times New Roman"/>
          <w:sz w:val="24"/>
          <w:szCs w:val="24"/>
          <w:lang w:val="en-US"/>
        </w:rPr>
        <w:t>eds</w:t>
      </w:r>
      <w:proofErr w:type="spellEnd"/>
      <w:proofErr w:type="gramEnd"/>
      <w:r w:rsidRPr="00161C1B">
        <w:rPr>
          <w:rFonts w:ascii="Times New Roman" w:hAnsi="Times New Roman" w:cs="Times New Roman"/>
          <w:sz w:val="24"/>
          <w:szCs w:val="24"/>
          <w:lang w:val="en-US"/>
        </w:rPr>
        <w:t>) Handbook of Party Politics (London: Sage)</w:t>
      </w:r>
    </w:p>
    <w:p w:rsidR="00FC1083" w:rsidRPr="00FC1083" w:rsidRDefault="00FC1083" w:rsidP="00161C1B">
      <w:pPr>
        <w:spacing w:after="0" w:line="360" w:lineRule="auto"/>
        <w:jc w:val="both"/>
        <w:rPr>
          <w:rFonts w:ascii="Times New Roman" w:hAnsi="Times New Roman" w:cs="Times New Roman"/>
          <w:b/>
          <w:sz w:val="24"/>
          <w:szCs w:val="24"/>
          <w:lang w:val="en-US"/>
        </w:rPr>
      </w:pPr>
    </w:p>
    <w:sectPr w:rsidR="00FC1083" w:rsidRPr="00FC1083">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B3" w:rsidRDefault="00883DB3" w:rsidP="004B6A02">
      <w:pPr>
        <w:spacing w:after="0" w:line="240" w:lineRule="auto"/>
      </w:pPr>
      <w:r>
        <w:separator/>
      </w:r>
    </w:p>
  </w:endnote>
  <w:endnote w:type="continuationSeparator" w:id="0">
    <w:p w:rsidR="00883DB3" w:rsidRDefault="00883DB3" w:rsidP="004B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02123"/>
      <w:docPartObj>
        <w:docPartGallery w:val="Page Numbers (Bottom of Page)"/>
        <w:docPartUnique/>
      </w:docPartObj>
    </w:sdtPr>
    <w:sdtEndPr/>
    <w:sdtContent>
      <w:p w:rsidR="00883DB3" w:rsidRDefault="00883DB3">
        <w:pPr>
          <w:pStyle w:val="Footer"/>
          <w:jc w:val="center"/>
        </w:pPr>
        <w:r>
          <w:fldChar w:fldCharType="begin"/>
        </w:r>
        <w:r>
          <w:instrText>PAGE   \* MERGEFORMAT</w:instrText>
        </w:r>
        <w:r>
          <w:fldChar w:fldCharType="separate"/>
        </w:r>
        <w:r w:rsidR="008C0D83">
          <w:rPr>
            <w:noProof/>
          </w:rPr>
          <w:t>25</w:t>
        </w:r>
        <w:r>
          <w:fldChar w:fldCharType="end"/>
        </w:r>
      </w:p>
    </w:sdtContent>
  </w:sdt>
  <w:p w:rsidR="00883DB3" w:rsidRDefault="00883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B3" w:rsidRDefault="00883DB3" w:rsidP="004B6A02">
      <w:pPr>
        <w:spacing w:after="0" w:line="240" w:lineRule="auto"/>
      </w:pPr>
      <w:r>
        <w:separator/>
      </w:r>
    </w:p>
  </w:footnote>
  <w:footnote w:type="continuationSeparator" w:id="0">
    <w:p w:rsidR="00883DB3" w:rsidRDefault="00883DB3" w:rsidP="004B6A02">
      <w:pPr>
        <w:spacing w:after="0" w:line="240" w:lineRule="auto"/>
      </w:pPr>
      <w:r>
        <w:continuationSeparator/>
      </w:r>
    </w:p>
  </w:footnote>
  <w:footnote w:id="1">
    <w:p w:rsidR="00883DB3" w:rsidRPr="00FF4B84" w:rsidRDefault="00883DB3" w:rsidP="00FF4B84">
      <w:pPr>
        <w:pStyle w:val="FootnoteText"/>
      </w:pPr>
      <w:r w:rsidRPr="00FF4B84">
        <w:rPr>
          <w:rStyle w:val="FootnoteReference"/>
        </w:rPr>
        <w:sym w:font="Symbol" w:char="F02A"/>
      </w:r>
      <w:r>
        <w:t xml:space="preserve"> </w:t>
      </w:r>
      <w:r w:rsidRPr="0065507E">
        <w:rPr>
          <w:lang w:val="en-US"/>
        </w:rPr>
        <w:t>Both authors have contributed equally. This is one of several joint works and the ordering of names simply reflects a principle of rotation.</w:t>
      </w:r>
    </w:p>
  </w:footnote>
  <w:footnote w:id="2">
    <w:p w:rsidR="00883DB3" w:rsidRPr="0050734A" w:rsidRDefault="00883DB3" w:rsidP="0050734A">
      <w:pPr>
        <w:pStyle w:val="FootnoteText"/>
        <w:jc w:val="both"/>
        <w:rPr>
          <w:lang w:val="en-US"/>
        </w:rPr>
      </w:pPr>
      <w:r w:rsidRPr="0050734A">
        <w:rPr>
          <w:rStyle w:val="FootnoteReference"/>
        </w:rPr>
        <w:footnoteRef/>
      </w:r>
      <w:r w:rsidRPr="0050734A">
        <w:rPr>
          <w:lang w:val="en-US"/>
        </w:rPr>
        <w:t xml:space="preserve"> It is important to note here, though, that the first scholar to point to a link between party bans and party system development was Müller (1993). Unfortunately, he did not develop the argument much further.</w:t>
      </w:r>
    </w:p>
  </w:footnote>
  <w:footnote w:id="3">
    <w:p w:rsidR="00883DB3" w:rsidRPr="0050734A" w:rsidRDefault="00883DB3" w:rsidP="0050734A">
      <w:pPr>
        <w:autoSpaceDE w:val="0"/>
        <w:autoSpaceDN w:val="0"/>
        <w:adjustRightInd w:val="0"/>
        <w:spacing w:after="0" w:line="240" w:lineRule="auto"/>
        <w:jc w:val="both"/>
        <w:rPr>
          <w:rFonts w:ascii="Times New Roman" w:hAnsi="Times New Roman" w:cs="Times New Roman"/>
          <w:color w:val="000000"/>
          <w:sz w:val="20"/>
          <w:szCs w:val="20"/>
          <w:lang w:val="en-US"/>
        </w:rPr>
      </w:pPr>
      <w:r w:rsidRPr="0050734A">
        <w:rPr>
          <w:rStyle w:val="FootnoteReference"/>
          <w:rFonts w:ascii="Times New Roman" w:hAnsi="Times New Roman" w:cs="Times New Roman"/>
          <w:sz w:val="20"/>
          <w:szCs w:val="20"/>
        </w:rPr>
        <w:footnoteRef/>
      </w:r>
      <w:r w:rsidRPr="0050734A">
        <w:rPr>
          <w:rFonts w:ascii="Times New Roman" w:hAnsi="Times New Roman" w:cs="Times New Roman"/>
          <w:sz w:val="20"/>
          <w:szCs w:val="20"/>
          <w:lang w:val="en-US"/>
        </w:rPr>
        <w:t xml:space="preserve"> </w:t>
      </w:r>
      <w:r w:rsidRPr="0050734A">
        <w:rPr>
          <w:rFonts w:ascii="Times New Roman" w:hAnsi="Times New Roman" w:cs="Times New Roman"/>
          <w:color w:val="000000"/>
          <w:sz w:val="20"/>
          <w:szCs w:val="20"/>
          <w:lang w:val="en-US"/>
        </w:rPr>
        <w:t>Müller also talked of important “consequences for the ideological spectrum” (1993: 421).</w:t>
      </w:r>
    </w:p>
  </w:footnote>
  <w:footnote w:id="4">
    <w:p w:rsidR="00883DB3" w:rsidRPr="0050734A" w:rsidRDefault="00883DB3" w:rsidP="0050734A">
      <w:pPr>
        <w:pStyle w:val="FootnoteText"/>
        <w:jc w:val="both"/>
        <w:rPr>
          <w:lang w:val="en-US"/>
        </w:rPr>
      </w:pPr>
      <w:r w:rsidRPr="0050734A">
        <w:rPr>
          <w:rStyle w:val="FootnoteReference"/>
        </w:rPr>
        <w:footnoteRef/>
      </w:r>
      <w:r w:rsidRPr="0050734A">
        <w:rPr>
          <w:lang w:val="en-US"/>
        </w:rPr>
        <w:t xml:space="preserve"> This constitutes a constant in all the effects here </w:t>
      </w:r>
      <w:proofErr w:type="spellStart"/>
      <w:r w:rsidRPr="0050734A">
        <w:rPr>
          <w:lang w:val="en-US"/>
        </w:rPr>
        <w:t>analysed</w:t>
      </w:r>
      <w:proofErr w:type="spellEnd"/>
      <w:r w:rsidRPr="0050734A">
        <w:rPr>
          <w:lang w:val="en-US"/>
        </w:rPr>
        <w:t>.</w:t>
      </w:r>
    </w:p>
  </w:footnote>
  <w:footnote w:id="5">
    <w:p w:rsidR="00883DB3" w:rsidRPr="0050734A" w:rsidRDefault="00883DB3" w:rsidP="0050734A">
      <w:pPr>
        <w:spacing w:after="0" w:line="240" w:lineRule="auto"/>
        <w:jc w:val="both"/>
        <w:rPr>
          <w:rFonts w:ascii="Times New Roman" w:hAnsi="Times New Roman" w:cs="Times New Roman"/>
          <w:sz w:val="20"/>
          <w:szCs w:val="20"/>
          <w:lang w:val="en-GB"/>
        </w:rPr>
      </w:pPr>
      <w:r w:rsidRPr="0050734A">
        <w:rPr>
          <w:rStyle w:val="FootnoteReference"/>
          <w:rFonts w:ascii="Times New Roman" w:hAnsi="Times New Roman" w:cs="Times New Roman"/>
          <w:sz w:val="20"/>
          <w:szCs w:val="20"/>
        </w:rPr>
        <w:footnoteRef/>
      </w:r>
      <w:r w:rsidRPr="0050734A">
        <w:rPr>
          <w:rFonts w:ascii="Times New Roman" w:hAnsi="Times New Roman" w:cs="Times New Roman"/>
          <w:sz w:val="20"/>
          <w:szCs w:val="20"/>
          <w:lang w:val="en-US"/>
        </w:rPr>
        <w:t xml:space="preserve"> </w:t>
      </w:r>
      <w:r w:rsidRPr="0050734A">
        <w:rPr>
          <w:rFonts w:ascii="Times New Roman" w:hAnsi="Times New Roman" w:cs="Times New Roman"/>
          <w:sz w:val="20"/>
          <w:szCs w:val="20"/>
          <w:lang w:val="en-GB"/>
        </w:rPr>
        <w:t>The “effective” number of (electoral/parliamentary) parties index measures how many parties are in a party system in a given election, weighted according to size, and is calculated according to the following formula: ENEP=1/Σv</w:t>
      </w:r>
      <w:r w:rsidRPr="0050734A">
        <w:rPr>
          <w:rFonts w:ascii="Times New Roman" w:hAnsi="Times New Roman" w:cs="Times New Roman"/>
          <w:sz w:val="20"/>
          <w:szCs w:val="20"/>
          <w:vertAlign w:val="subscript"/>
          <w:lang w:val="en-GB"/>
        </w:rPr>
        <w:t>i</w:t>
      </w:r>
      <w:r w:rsidRPr="0050734A">
        <w:rPr>
          <w:rFonts w:ascii="Times New Roman" w:hAnsi="Times New Roman" w:cs="Times New Roman"/>
          <w:sz w:val="20"/>
          <w:szCs w:val="20"/>
          <w:vertAlign w:val="superscript"/>
          <w:lang w:val="en-GB"/>
        </w:rPr>
        <w:t>²</w:t>
      </w:r>
      <w:r w:rsidRPr="0050734A">
        <w:rPr>
          <w:rFonts w:ascii="Times New Roman" w:hAnsi="Times New Roman" w:cs="Times New Roman"/>
          <w:sz w:val="20"/>
          <w:szCs w:val="20"/>
          <w:lang w:val="en-GB"/>
        </w:rPr>
        <w:t>, where v</w:t>
      </w:r>
      <w:r w:rsidRPr="0050734A">
        <w:rPr>
          <w:rFonts w:ascii="Times New Roman" w:hAnsi="Times New Roman" w:cs="Times New Roman"/>
          <w:sz w:val="20"/>
          <w:szCs w:val="20"/>
          <w:vertAlign w:val="subscript"/>
          <w:lang w:val="en-GB"/>
        </w:rPr>
        <w:t>i</w:t>
      </w:r>
      <w:r w:rsidRPr="0050734A">
        <w:rPr>
          <w:rFonts w:ascii="Times New Roman" w:hAnsi="Times New Roman" w:cs="Times New Roman"/>
          <w:sz w:val="20"/>
          <w:szCs w:val="20"/>
          <w:lang w:val="en-GB"/>
        </w:rPr>
        <w:t xml:space="preserve"> is the proportion of seats of the </w:t>
      </w:r>
      <w:proofErr w:type="spellStart"/>
      <w:r w:rsidRPr="0050734A">
        <w:rPr>
          <w:rFonts w:ascii="Times New Roman" w:hAnsi="Times New Roman" w:cs="Times New Roman"/>
          <w:sz w:val="20"/>
          <w:szCs w:val="20"/>
          <w:lang w:val="en-GB"/>
        </w:rPr>
        <w:t>i</w:t>
      </w:r>
      <w:r w:rsidRPr="0050734A">
        <w:rPr>
          <w:rFonts w:ascii="Times New Roman" w:hAnsi="Times New Roman" w:cs="Times New Roman"/>
          <w:sz w:val="20"/>
          <w:szCs w:val="20"/>
          <w:vertAlign w:val="superscript"/>
          <w:lang w:val="en-GB"/>
        </w:rPr>
        <w:t>th</w:t>
      </w:r>
      <w:proofErr w:type="spellEnd"/>
      <w:r w:rsidRPr="0050734A">
        <w:rPr>
          <w:rFonts w:ascii="Times New Roman" w:hAnsi="Times New Roman" w:cs="Times New Roman"/>
          <w:sz w:val="20"/>
          <w:szCs w:val="20"/>
          <w:lang w:val="en-GB"/>
        </w:rPr>
        <w:t xml:space="preserve"> party (</w:t>
      </w:r>
      <w:proofErr w:type="spellStart"/>
      <w:r w:rsidRPr="0050734A">
        <w:rPr>
          <w:rFonts w:ascii="Times New Roman" w:hAnsi="Times New Roman" w:cs="Times New Roman"/>
          <w:sz w:val="20"/>
          <w:szCs w:val="20"/>
          <w:lang w:val="en-GB"/>
        </w:rPr>
        <w:t>Lijphart</w:t>
      </w:r>
      <w:proofErr w:type="spellEnd"/>
      <w:r w:rsidRPr="0050734A">
        <w:rPr>
          <w:rFonts w:ascii="Times New Roman" w:hAnsi="Times New Roman" w:cs="Times New Roman"/>
          <w:sz w:val="20"/>
          <w:szCs w:val="20"/>
          <w:lang w:val="en-GB"/>
        </w:rPr>
        <w:t xml:space="preserve"> 1994: 70).</w:t>
      </w:r>
    </w:p>
  </w:footnote>
  <w:footnote w:id="6">
    <w:p w:rsidR="00883DB3" w:rsidRPr="0050734A" w:rsidRDefault="00883DB3" w:rsidP="0050734A">
      <w:pPr>
        <w:autoSpaceDE w:val="0"/>
        <w:autoSpaceDN w:val="0"/>
        <w:adjustRightInd w:val="0"/>
        <w:spacing w:after="0" w:line="240" w:lineRule="auto"/>
        <w:jc w:val="both"/>
        <w:rPr>
          <w:rFonts w:ascii="Times New Roman" w:hAnsi="Times New Roman" w:cs="Times New Roman"/>
          <w:sz w:val="20"/>
          <w:szCs w:val="20"/>
          <w:lang w:val="en-US"/>
        </w:rPr>
      </w:pPr>
      <w:r w:rsidRPr="0050734A">
        <w:rPr>
          <w:rStyle w:val="FootnoteReference"/>
          <w:rFonts w:ascii="Times New Roman" w:hAnsi="Times New Roman" w:cs="Times New Roman"/>
          <w:sz w:val="20"/>
          <w:szCs w:val="20"/>
        </w:rPr>
        <w:footnoteRef/>
      </w:r>
      <w:r w:rsidRPr="0050734A">
        <w:rPr>
          <w:rFonts w:ascii="Times New Roman" w:hAnsi="Times New Roman" w:cs="Times New Roman"/>
          <w:sz w:val="20"/>
          <w:szCs w:val="20"/>
          <w:lang w:val="en-US"/>
        </w:rPr>
        <w:t xml:space="preserve"> According to them, “most party systems with an ENPP between 1.8 and 2.4 approximate the logic of two-party systems. With an ENPP between 2.5 and 2.9, what </w:t>
      </w:r>
      <w:proofErr w:type="spellStart"/>
      <w:r w:rsidRPr="0050734A">
        <w:rPr>
          <w:rFonts w:ascii="Times New Roman" w:hAnsi="Times New Roman" w:cs="Times New Roman"/>
          <w:sz w:val="20"/>
          <w:szCs w:val="20"/>
          <w:lang w:val="en-US"/>
        </w:rPr>
        <w:t>Blondel</w:t>
      </w:r>
      <w:proofErr w:type="spellEnd"/>
      <w:r w:rsidRPr="0050734A">
        <w:rPr>
          <w:rFonts w:ascii="Times New Roman" w:hAnsi="Times New Roman" w:cs="Times New Roman"/>
          <w:sz w:val="20"/>
          <w:szCs w:val="20"/>
          <w:lang w:val="en-US"/>
        </w:rPr>
        <w:t xml:space="preserve"> calls two-and-a-half party pattern usually prevails . . . Systems with an ENPP between 3.0 and 3.9 usually correspond to </w:t>
      </w:r>
      <w:proofErr w:type="spellStart"/>
      <w:r w:rsidRPr="0050734A">
        <w:rPr>
          <w:rFonts w:ascii="Times New Roman" w:hAnsi="Times New Roman" w:cs="Times New Roman"/>
          <w:sz w:val="20"/>
          <w:szCs w:val="20"/>
          <w:lang w:val="en-US"/>
        </w:rPr>
        <w:t>Sartori’s</w:t>
      </w:r>
      <w:proofErr w:type="spellEnd"/>
      <w:r w:rsidRPr="0050734A">
        <w:rPr>
          <w:rFonts w:ascii="Times New Roman" w:hAnsi="Times New Roman" w:cs="Times New Roman"/>
          <w:sz w:val="20"/>
          <w:szCs w:val="20"/>
          <w:lang w:val="en-US"/>
        </w:rPr>
        <w:t xml:space="preserve"> category of limited pluralism, while those with an ENPP of 4.0 or higher usually correspond to the category of extreme pluralism (1995: 31–2).</w:t>
      </w:r>
    </w:p>
  </w:footnote>
  <w:footnote w:id="7">
    <w:p w:rsidR="00883DB3" w:rsidRPr="0050734A" w:rsidRDefault="00883DB3" w:rsidP="0050734A">
      <w:pPr>
        <w:pStyle w:val="FootnoteText"/>
        <w:jc w:val="both"/>
        <w:rPr>
          <w:lang w:val="en-US"/>
        </w:rPr>
      </w:pPr>
      <w:r w:rsidRPr="0050734A">
        <w:rPr>
          <w:rStyle w:val="FootnoteReference"/>
        </w:rPr>
        <w:footnoteRef/>
      </w:r>
      <w:r w:rsidRPr="0050734A">
        <w:rPr>
          <w:lang w:val="en-US"/>
        </w:rPr>
        <w:t xml:space="preserve"> The non-banning of the Communist Party in the Czech Republic, Italy or Portugal is a clear example.</w:t>
      </w:r>
    </w:p>
  </w:footnote>
  <w:footnote w:id="8">
    <w:p w:rsidR="00883DB3" w:rsidRPr="006834DA" w:rsidRDefault="00883DB3" w:rsidP="00B003CD">
      <w:pPr>
        <w:pStyle w:val="FootnoteText"/>
        <w:rPr>
          <w:lang w:val="en-US"/>
        </w:rPr>
      </w:pPr>
      <w:r>
        <w:rPr>
          <w:rStyle w:val="FootnoteReference"/>
        </w:rPr>
        <w:footnoteRef/>
      </w:r>
      <w:r w:rsidRPr="006834DA">
        <w:rPr>
          <w:lang w:val="en-US"/>
        </w:rPr>
        <w:t xml:space="preserve"> Data at the regional level or in Turkey is not available, </w:t>
      </w:r>
      <w:r>
        <w:rPr>
          <w:lang w:val="en-US"/>
        </w:rPr>
        <w:t xml:space="preserve">at least </w:t>
      </w:r>
      <w:r w:rsidRPr="006834DA">
        <w:rPr>
          <w:lang w:val="en-US"/>
        </w:rPr>
        <w:t>as far as we know.</w:t>
      </w:r>
    </w:p>
  </w:footnote>
  <w:footnote w:id="9">
    <w:p w:rsidR="00883DB3" w:rsidRPr="002B2D05" w:rsidRDefault="00883DB3" w:rsidP="00B003CD">
      <w:pPr>
        <w:pStyle w:val="FootnoteText"/>
        <w:rPr>
          <w:lang w:val="en-US"/>
        </w:rPr>
      </w:pPr>
      <w:r>
        <w:rPr>
          <w:rStyle w:val="FootnoteReference"/>
        </w:rPr>
        <w:footnoteRef/>
      </w:r>
      <w:r w:rsidRPr="002B2D05">
        <w:rPr>
          <w:lang w:val="en-US"/>
        </w:rPr>
        <w:t xml:space="preserve"> It is important to note here that</w:t>
      </w:r>
      <w:r>
        <w:rPr>
          <w:lang w:val="en-US"/>
        </w:rPr>
        <w:t xml:space="preserve"> the formation of an electoral coalition between the CDU and the DP as well as the contestation of the elections for the first time by the GB/BHE almost counteracted each other, leaving the impact of the irruption of the SRP mostly intact, and exclusive.</w:t>
      </w:r>
    </w:p>
  </w:footnote>
  <w:footnote w:id="10">
    <w:p w:rsidR="00883DB3" w:rsidRPr="00AB124E" w:rsidRDefault="00883DB3" w:rsidP="00B003CD">
      <w:pPr>
        <w:pStyle w:val="FootnoteText"/>
        <w:rPr>
          <w:lang w:val="en-US"/>
        </w:rPr>
      </w:pPr>
      <w:r>
        <w:rPr>
          <w:rStyle w:val="FootnoteReference"/>
        </w:rPr>
        <w:footnoteRef/>
      </w:r>
      <w:r w:rsidRPr="00AB124E">
        <w:rPr>
          <w:lang w:val="en-US"/>
        </w:rPr>
        <w:t xml:space="preserve"> With the exception of 1969, when with 4.3 percent of the votes the NDP barely didn</w:t>
      </w:r>
      <w:r>
        <w:rPr>
          <w:lang w:val="en-US"/>
        </w:rPr>
        <w:t xml:space="preserve">´t make it into the </w:t>
      </w:r>
      <w:proofErr w:type="spellStart"/>
      <w:r w:rsidRPr="00AB124E">
        <w:rPr>
          <w:i/>
          <w:lang w:val="en-US"/>
        </w:rPr>
        <w:t>Deutcher</w:t>
      </w:r>
      <w:proofErr w:type="spellEnd"/>
      <w:r w:rsidRPr="00AB124E">
        <w:rPr>
          <w:i/>
          <w:lang w:val="en-US"/>
        </w:rPr>
        <w:t xml:space="preserve"> Bundestag</w:t>
      </w:r>
      <w:r>
        <w:rPr>
          <w:lang w:val="en-US"/>
        </w:rPr>
        <w:t>.</w:t>
      </w:r>
    </w:p>
  </w:footnote>
  <w:footnote w:id="11">
    <w:p w:rsidR="00883DB3" w:rsidRPr="00C3570D" w:rsidRDefault="00883DB3" w:rsidP="00B003CD">
      <w:pPr>
        <w:pStyle w:val="FootnoteText"/>
        <w:rPr>
          <w:lang w:val="en-US"/>
        </w:rPr>
      </w:pPr>
      <w:r>
        <w:rPr>
          <w:rStyle w:val="FootnoteReference"/>
        </w:rPr>
        <w:footnoteRef/>
      </w:r>
      <w:r w:rsidRPr="00C3570D">
        <w:rPr>
          <w:lang w:val="en-US"/>
        </w:rPr>
        <w:t xml:space="preserve"> There have been others in 2011 and 2012.</w:t>
      </w:r>
    </w:p>
  </w:footnote>
  <w:footnote w:id="12">
    <w:p w:rsidR="00883DB3" w:rsidRPr="00C927E5" w:rsidRDefault="00883DB3" w:rsidP="00B003CD">
      <w:pPr>
        <w:pStyle w:val="FootnoteText"/>
        <w:rPr>
          <w:lang w:val="en-US"/>
        </w:rPr>
      </w:pPr>
      <w:r>
        <w:rPr>
          <w:rStyle w:val="FootnoteReference"/>
        </w:rPr>
        <w:footnoteRef/>
      </w:r>
      <w:r w:rsidRPr="00C927E5">
        <w:rPr>
          <w:lang w:val="en-US"/>
        </w:rPr>
        <w:t xml:space="preserve"> It should </w:t>
      </w:r>
      <w:r>
        <w:rPr>
          <w:lang w:val="en-US"/>
        </w:rPr>
        <w:t xml:space="preserve">not be forgotten that Saxony was part of the German Democratic Republic until the </w:t>
      </w:r>
      <w:r w:rsidRPr="008C434C">
        <w:rPr>
          <w:i/>
          <w:lang w:val="en-US"/>
        </w:rPr>
        <w:t>Deutsche</w:t>
      </w:r>
      <w:r>
        <w:rPr>
          <w:lang w:val="en-US"/>
        </w:rPr>
        <w:t xml:space="preserve"> </w:t>
      </w:r>
      <w:proofErr w:type="spellStart"/>
      <w:r w:rsidRPr="008C434C">
        <w:rPr>
          <w:i/>
          <w:lang w:val="en-US"/>
        </w:rPr>
        <w:t>Wiedervereinigung</w:t>
      </w:r>
      <w:proofErr w:type="spellEnd"/>
      <w:r>
        <w:rPr>
          <w:lang w:val="en-US"/>
        </w:rPr>
        <w:t xml:space="preserve"> in 1990.</w:t>
      </w:r>
    </w:p>
  </w:footnote>
  <w:footnote w:id="13">
    <w:p w:rsidR="00883DB3" w:rsidRPr="001C0BD3" w:rsidRDefault="00883DB3">
      <w:pPr>
        <w:pStyle w:val="FootnoteText"/>
      </w:pPr>
      <w:r>
        <w:rPr>
          <w:rStyle w:val="FootnoteReference"/>
        </w:rPr>
        <w:footnoteRef/>
      </w:r>
      <w:r>
        <w:t xml:space="preserve"> </w:t>
      </w:r>
      <w:r>
        <w:rPr>
          <w:lang w:val="en-US"/>
        </w:rPr>
        <w:t xml:space="preserve">The Communist Party of Spain (reconstituted), the other Spanish party to have been banned (Casal </w:t>
      </w:r>
      <w:proofErr w:type="spellStart"/>
      <w:r>
        <w:rPr>
          <w:lang w:val="en-US"/>
        </w:rPr>
        <w:t>Bértoa</w:t>
      </w:r>
      <w:proofErr w:type="spellEnd"/>
      <w:r>
        <w:rPr>
          <w:lang w:val="en-US"/>
        </w:rPr>
        <w:t xml:space="preserve"> et al., 2014b: 20), is left out from our analyses due its inactivity at the electoral level.</w:t>
      </w:r>
    </w:p>
  </w:footnote>
  <w:footnote w:id="14">
    <w:p w:rsidR="00883DB3" w:rsidRPr="00B14FA8" w:rsidRDefault="00883DB3" w:rsidP="00161C1B">
      <w:pPr>
        <w:pStyle w:val="FootnoteText"/>
        <w:rPr>
          <w:lang w:val="en-US"/>
        </w:rPr>
      </w:pPr>
      <w:r>
        <w:rPr>
          <w:rStyle w:val="FootnoteReference"/>
        </w:rPr>
        <w:footnoteRef/>
      </w:r>
      <w:r w:rsidRPr="00B14FA8">
        <w:rPr>
          <w:lang w:val="en-US"/>
        </w:rPr>
        <w:t xml:space="preserve"> The percentage of votes obtained </w:t>
      </w:r>
      <w:r>
        <w:rPr>
          <w:lang w:val="en-US"/>
        </w:rPr>
        <w:t>by HB or its political sister (</w:t>
      </w:r>
      <w:proofErr w:type="spellStart"/>
      <w:r>
        <w:rPr>
          <w:lang w:val="en-US"/>
        </w:rPr>
        <w:t>Amaiur</w:t>
      </w:r>
      <w:proofErr w:type="spellEnd"/>
      <w:r>
        <w:rPr>
          <w:lang w:val="en-US"/>
        </w:rPr>
        <w:t>) in any of the elections celebrated at the national level (i.e. legislative, European parliament) was never higher than 2 percent. In clearly contrast to a minimum of roughly 10 percent in both Navarra and the Basque Country.</w:t>
      </w:r>
    </w:p>
  </w:footnote>
  <w:footnote w:id="15">
    <w:p w:rsidR="00883DB3" w:rsidRPr="00985802" w:rsidRDefault="00883DB3" w:rsidP="00161C1B">
      <w:pPr>
        <w:pStyle w:val="FootnoteText"/>
        <w:rPr>
          <w:lang w:val="en-US"/>
        </w:rPr>
      </w:pPr>
      <w:r>
        <w:rPr>
          <w:rStyle w:val="FootnoteReference"/>
        </w:rPr>
        <w:footnoteRef/>
      </w:r>
      <w:r w:rsidRPr="00985802">
        <w:rPr>
          <w:lang w:val="en-US"/>
        </w:rPr>
        <w:t xml:space="preserve"> As reported elsewhere in more detail (Casal </w:t>
      </w:r>
      <w:proofErr w:type="spellStart"/>
      <w:r w:rsidRPr="00985802">
        <w:rPr>
          <w:lang w:val="en-US"/>
        </w:rPr>
        <w:t>B</w:t>
      </w:r>
      <w:r>
        <w:rPr>
          <w:lang w:val="en-US"/>
        </w:rPr>
        <w:t>értoa</w:t>
      </w:r>
      <w:proofErr w:type="spellEnd"/>
      <w:r>
        <w:rPr>
          <w:lang w:val="en-US"/>
        </w:rPr>
        <w:t xml:space="preserve"> et al., 2014b: 17), HB leaders considered themselves represented by </w:t>
      </w:r>
      <w:r w:rsidRPr="00985802">
        <w:rPr>
          <w:lang w:val="en-US"/>
        </w:rPr>
        <w:t xml:space="preserve">the </w:t>
      </w:r>
      <w:r w:rsidRPr="00985802">
        <w:rPr>
          <w:color w:val="000000"/>
          <w:lang w:val="en-US"/>
        </w:rPr>
        <w:t xml:space="preserve">Communist Party of the Basque </w:t>
      </w:r>
      <w:r>
        <w:rPr>
          <w:color w:val="000000"/>
          <w:lang w:val="en-US"/>
        </w:rPr>
        <w:t>Homel</w:t>
      </w:r>
      <w:r w:rsidRPr="00985802">
        <w:rPr>
          <w:color w:val="000000"/>
          <w:lang w:val="en-US"/>
        </w:rPr>
        <w:t>and</w:t>
      </w:r>
      <w:r>
        <w:rPr>
          <w:color w:val="000000"/>
          <w:lang w:val="en-US"/>
        </w:rPr>
        <w:t>s (EHAK</w:t>
      </w:r>
      <w:r w:rsidRPr="00985802">
        <w:rPr>
          <w:color w:val="000000"/>
          <w:lang w:val="en-US"/>
        </w:rPr>
        <w:t>)</w:t>
      </w:r>
      <w:r>
        <w:rPr>
          <w:color w:val="000000"/>
          <w:lang w:val="en-US"/>
        </w:rPr>
        <w:t>, manifesting their explicit support to their candidatures</w:t>
      </w:r>
      <w:r w:rsidRPr="00985802">
        <w:rPr>
          <w:color w:val="000000"/>
          <w:lang w:val="en-US"/>
        </w:rPr>
        <w:t xml:space="preserve"> in 2005.</w:t>
      </w:r>
    </w:p>
  </w:footnote>
  <w:footnote w:id="16">
    <w:p w:rsidR="00883DB3" w:rsidRPr="00EC2BED" w:rsidRDefault="00883DB3" w:rsidP="00161C1B">
      <w:pPr>
        <w:pStyle w:val="FootnoteText"/>
        <w:rPr>
          <w:lang w:val="en-US"/>
        </w:rPr>
      </w:pPr>
      <w:r>
        <w:rPr>
          <w:rStyle w:val="FootnoteReference"/>
        </w:rPr>
        <w:footnoteRef/>
      </w:r>
      <w:r w:rsidRPr="00EC2BED">
        <w:rPr>
          <w:lang w:val="en-US"/>
        </w:rPr>
        <w:t xml:space="preserve"> </w:t>
      </w:r>
      <w:r>
        <w:rPr>
          <w:color w:val="000000"/>
          <w:lang w:val="en-US"/>
        </w:rPr>
        <w:t>EHAK was dissolved for refusing to condemn ETA´s violence (Bourne, 2012b).</w:t>
      </w:r>
    </w:p>
  </w:footnote>
  <w:footnote w:id="17">
    <w:p w:rsidR="00883DB3" w:rsidRPr="0072743C" w:rsidRDefault="00883DB3" w:rsidP="00161C1B">
      <w:pPr>
        <w:pStyle w:val="FootnoteText"/>
        <w:rPr>
          <w:lang w:val="en-US"/>
        </w:rPr>
      </w:pPr>
      <w:r>
        <w:rPr>
          <w:rStyle w:val="FootnoteReference"/>
        </w:rPr>
        <w:footnoteRef/>
      </w:r>
      <w:r w:rsidRPr="0072743C">
        <w:rPr>
          <w:lang w:val="en-US"/>
        </w:rPr>
        <w:t xml:space="preserve"> From the 25 percent of votes obtained by EH </w:t>
      </w:r>
      <w:proofErr w:type="spellStart"/>
      <w:r w:rsidRPr="0072743C">
        <w:rPr>
          <w:lang w:val="en-US"/>
        </w:rPr>
        <w:t>Bildu</w:t>
      </w:r>
      <w:proofErr w:type="spellEnd"/>
      <w:r w:rsidRPr="0072743C">
        <w:rPr>
          <w:lang w:val="en-US"/>
        </w:rPr>
        <w:t xml:space="preserve"> in 2012 we discount the 6 percent and the 3.7 percent respectively obtained by </w:t>
      </w:r>
      <w:proofErr w:type="spellStart"/>
      <w:r>
        <w:rPr>
          <w:lang w:val="en-US"/>
        </w:rPr>
        <w:t>Aralar</w:t>
      </w:r>
      <w:proofErr w:type="spellEnd"/>
      <w:r>
        <w:rPr>
          <w:lang w:val="en-US"/>
        </w:rPr>
        <w:t xml:space="preserve"> and EA in 2009.</w:t>
      </w:r>
    </w:p>
  </w:footnote>
  <w:footnote w:id="18">
    <w:p w:rsidR="00883DB3" w:rsidRPr="00A4641D" w:rsidRDefault="00883DB3" w:rsidP="00161C1B">
      <w:pPr>
        <w:pStyle w:val="FootnoteText"/>
        <w:rPr>
          <w:lang w:val="en-US"/>
        </w:rPr>
      </w:pPr>
      <w:r>
        <w:rPr>
          <w:rStyle w:val="FootnoteReference"/>
        </w:rPr>
        <w:footnoteRef/>
      </w:r>
      <w:r w:rsidRPr="00A4641D">
        <w:rPr>
          <w:lang w:val="en-US"/>
        </w:rPr>
        <w:t xml:space="preserve"> It </w:t>
      </w:r>
      <w:r>
        <w:rPr>
          <w:lang w:val="en-US"/>
        </w:rPr>
        <w:t>is important to note, however, that</w:t>
      </w:r>
      <w:r w:rsidRPr="00A4641D">
        <w:rPr>
          <w:lang w:val="en-US"/>
        </w:rPr>
        <w:t xml:space="preserve"> the PNV had </w:t>
      </w:r>
      <w:r>
        <w:rPr>
          <w:lang w:val="en-US"/>
        </w:rPr>
        <w:t xml:space="preserve">already </w:t>
      </w:r>
      <w:r w:rsidRPr="00A4641D">
        <w:rPr>
          <w:lang w:val="en-US"/>
        </w:rPr>
        <w:t xml:space="preserve">formed </w:t>
      </w:r>
      <w:r>
        <w:rPr>
          <w:lang w:val="en-US"/>
        </w:rPr>
        <w:t xml:space="preserve">a minority cabinet in March 1984 which, for the new generation of voters accustomed to PNV-led coalitions, was still innovative. </w:t>
      </w:r>
    </w:p>
  </w:footnote>
  <w:footnote w:id="19">
    <w:p w:rsidR="00883DB3" w:rsidRPr="008B1FB2" w:rsidRDefault="00883DB3" w:rsidP="00161C1B">
      <w:pPr>
        <w:pStyle w:val="FootnoteText"/>
        <w:rPr>
          <w:lang w:val="en-US"/>
        </w:rPr>
      </w:pPr>
      <w:r>
        <w:rPr>
          <w:rStyle w:val="FootnoteReference"/>
        </w:rPr>
        <w:footnoteRef/>
      </w:r>
      <w:r w:rsidRPr="008B1FB2">
        <w:rPr>
          <w:lang w:val="en-US"/>
        </w:rPr>
        <w:t xml:space="preserve"> EA split from PNV in September 1986. </w:t>
      </w:r>
      <w:r>
        <w:rPr>
          <w:lang w:val="en-US"/>
        </w:rPr>
        <w:t>They would later form an electoral coalition between 2001 and 2009.</w:t>
      </w:r>
    </w:p>
  </w:footnote>
  <w:footnote w:id="20">
    <w:p w:rsidR="00883DB3" w:rsidRPr="007A687F" w:rsidRDefault="00883DB3" w:rsidP="00161C1B">
      <w:pPr>
        <w:pStyle w:val="FootnoteText"/>
        <w:rPr>
          <w:lang w:val="en-US"/>
        </w:rPr>
      </w:pPr>
      <w:r>
        <w:rPr>
          <w:rStyle w:val="FootnoteReference"/>
        </w:rPr>
        <w:footnoteRef/>
      </w:r>
      <w:r w:rsidRPr="007A687F">
        <w:rPr>
          <w:lang w:val="en-US"/>
        </w:rPr>
        <w:t xml:space="preserve"> In Spain all regional elections, but for the </w:t>
      </w:r>
      <w:r>
        <w:rPr>
          <w:lang w:val="en-US"/>
        </w:rPr>
        <w:t xml:space="preserve">Andalusian, </w:t>
      </w:r>
      <w:r w:rsidRPr="007A687F">
        <w:rPr>
          <w:lang w:val="en-US"/>
        </w:rPr>
        <w:t>Basque, Catalan and Galician, are held the very same day.</w:t>
      </w:r>
    </w:p>
  </w:footnote>
  <w:footnote w:id="21">
    <w:p w:rsidR="00883DB3" w:rsidRPr="00845550" w:rsidRDefault="00883DB3" w:rsidP="00161C1B">
      <w:pPr>
        <w:pStyle w:val="FootnoteText"/>
        <w:rPr>
          <w:lang w:val="en-US"/>
        </w:rPr>
      </w:pPr>
      <w:r>
        <w:rPr>
          <w:rStyle w:val="FootnoteReference"/>
        </w:rPr>
        <w:footnoteRef/>
      </w:r>
      <w:r w:rsidRPr="00845550">
        <w:rPr>
          <w:lang w:val="en-US"/>
        </w:rPr>
        <w:t xml:space="preserve"> While UCD dis</w:t>
      </w:r>
      <w:r>
        <w:rPr>
          <w:lang w:val="en-US"/>
        </w:rPr>
        <w:t>s</w:t>
      </w:r>
      <w:r w:rsidRPr="00845550">
        <w:rPr>
          <w:lang w:val="en-US"/>
        </w:rPr>
        <w:t>olved itself in 1983,</w:t>
      </w:r>
      <w:r>
        <w:rPr>
          <w:lang w:val="en-US"/>
        </w:rPr>
        <w:t xml:space="preserve"> AP passed from being an electoral coalition in 1983 to a unitary party in 1983. CDN split from UPN in April 1995. </w:t>
      </w:r>
      <w:r w:rsidRPr="00845550">
        <w:rPr>
          <w:lang w:val="en-US"/>
        </w:rPr>
        <w:t xml:space="preserve"> </w:t>
      </w:r>
    </w:p>
  </w:footnote>
  <w:footnote w:id="22">
    <w:p w:rsidR="00883DB3" w:rsidRPr="00927900" w:rsidRDefault="00883DB3" w:rsidP="00161C1B">
      <w:pPr>
        <w:pStyle w:val="FootnoteText"/>
        <w:rPr>
          <w:lang w:val="en-US"/>
        </w:rPr>
      </w:pPr>
      <w:r>
        <w:rPr>
          <w:rStyle w:val="FootnoteReference"/>
        </w:rPr>
        <w:footnoteRef/>
      </w:r>
      <w:r w:rsidRPr="00927900">
        <w:rPr>
          <w:lang w:val="en-US"/>
        </w:rPr>
        <w:t xml:space="preserve"> </w:t>
      </w:r>
      <w:proofErr w:type="spellStart"/>
      <w:r w:rsidRPr="00927900">
        <w:rPr>
          <w:lang w:val="en-US"/>
        </w:rPr>
        <w:t>Aralar</w:t>
      </w:r>
      <w:proofErr w:type="spellEnd"/>
      <w:r w:rsidRPr="00927900">
        <w:rPr>
          <w:lang w:val="en-US"/>
        </w:rPr>
        <w:t xml:space="preserve"> and </w:t>
      </w:r>
      <w:proofErr w:type="spellStart"/>
      <w:r w:rsidRPr="00927900">
        <w:rPr>
          <w:lang w:val="en-US"/>
        </w:rPr>
        <w:t>Bazarre</w:t>
      </w:r>
      <w:proofErr w:type="spellEnd"/>
      <w:r w:rsidRPr="00927900">
        <w:rPr>
          <w:lang w:val="en-US"/>
        </w:rPr>
        <w:t xml:space="preserve"> got 8 and 2.6 percentage of vote</w:t>
      </w:r>
      <w:r>
        <w:rPr>
          <w:lang w:val="en-US"/>
        </w:rPr>
        <w:t xml:space="preserve">s in 2003 which, compared to </w:t>
      </w:r>
      <w:proofErr w:type="spellStart"/>
      <w:r>
        <w:rPr>
          <w:lang w:val="en-US"/>
        </w:rPr>
        <w:t>Batasuna´s</w:t>
      </w:r>
      <w:proofErr w:type="spellEnd"/>
      <w:r w:rsidRPr="00927900">
        <w:rPr>
          <w:lang w:val="en-US"/>
        </w:rPr>
        <w:t xml:space="preserve"> 16 percent</w:t>
      </w:r>
      <w:r>
        <w:rPr>
          <w:lang w:val="en-US"/>
        </w:rPr>
        <w:t xml:space="preserve"> of votes in 1999 clearly reduces the latter party´s volatility to a mere 5.4. </w:t>
      </w:r>
      <w:proofErr w:type="gramStart"/>
      <w:r>
        <w:rPr>
          <w:lang w:val="en-US"/>
        </w:rPr>
        <w:t>Still almost a half of the TEV for 2003, as explained above.</w:t>
      </w:r>
      <w:proofErr w:type="gramEnd"/>
    </w:p>
  </w:footnote>
  <w:footnote w:id="23">
    <w:p w:rsidR="00883DB3" w:rsidRPr="00ED603F" w:rsidRDefault="00883DB3" w:rsidP="00161C1B">
      <w:pPr>
        <w:pStyle w:val="FootnoteText"/>
        <w:rPr>
          <w:lang w:val="en-US"/>
        </w:rPr>
      </w:pPr>
      <w:r>
        <w:rPr>
          <w:rStyle w:val="FootnoteReference"/>
        </w:rPr>
        <w:footnoteRef/>
      </w:r>
      <w:r w:rsidRPr="00ED603F">
        <w:rPr>
          <w:lang w:val="en-US"/>
        </w:rPr>
        <w:t xml:space="preserve"> Interestingly enough, this also coincides with the attraction of radical vo</w:t>
      </w:r>
      <w:r>
        <w:rPr>
          <w:lang w:val="en-US"/>
        </w:rPr>
        <w:t xml:space="preserve">tes by the </w:t>
      </w:r>
      <w:proofErr w:type="spellStart"/>
      <w:r>
        <w:rPr>
          <w:lang w:val="en-US"/>
        </w:rPr>
        <w:t>Aralar</w:t>
      </w:r>
      <w:proofErr w:type="spellEnd"/>
      <w:r>
        <w:rPr>
          <w:lang w:val="en-US"/>
        </w:rPr>
        <w:t xml:space="preserve">-led </w:t>
      </w:r>
      <w:proofErr w:type="spellStart"/>
      <w:r>
        <w:rPr>
          <w:lang w:val="en-US"/>
        </w:rPr>
        <w:t>Nafarroa</w:t>
      </w:r>
      <w:proofErr w:type="spellEnd"/>
      <w:r>
        <w:rPr>
          <w:lang w:val="en-US"/>
        </w:rPr>
        <w:t xml:space="preserve"> Bai (NB) coalition in 2007. In fact, the sum of the votes of </w:t>
      </w:r>
      <w:proofErr w:type="spellStart"/>
      <w:r>
        <w:rPr>
          <w:lang w:val="en-US"/>
        </w:rPr>
        <w:t>Aralar</w:t>
      </w:r>
      <w:proofErr w:type="spellEnd"/>
      <w:r>
        <w:rPr>
          <w:lang w:val="en-US"/>
        </w:rPr>
        <w:t xml:space="preserve"> (8), </w:t>
      </w:r>
      <w:proofErr w:type="spellStart"/>
      <w:r>
        <w:rPr>
          <w:lang w:val="en-US"/>
        </w:rPr>
        <w:t>Bazarre</w:t>
      </w:r>
      <w:proofErr w:type="spellEnd"/>
      <w:r>
        <w:rPr>
          <w:lang w:val="en-US"/>
        </w:rPr>
        <w:t xml:space="preserve"> (2.6) and the PNV/EA (7.6) in 2003, plus the remains of HB votes in 1999 (5.4) perfectly coincides with the percentage of votes obtained by NB in 2007: namely, 23.6.</w:t>
      </w:r>
    </w:p>
  </w:footnote>
  <w:footnote w:id="24">
    <w:p w:rsidR="00883DB3" w:rsidRPr="00D50A0C" w:rsidRDefault="00883DB3" w:rsidP="00161C1B">
      <w:pPr>
        <w:pStyle w:val="FootnoteText"/>
        <w:rPr>
          <w:lang w:val="en-US"/>
        </w:rPr>
      </w:pPr>
      <w:r>
        <w:rPr>
          <w:rStyle w:val="FootnoteReference"/>
        </w:rPr>
        <w:footnoteRef/>
      </w:r>
      <w:r w:rsidRPr="00D50A0C">
        <w:rPr>
          <w:lang w:val="en-US"/>
        </w:rPr>
        <w:t xml:space="preserve"> The importance of PP´s split from UPN in such structural change should also not be forgotten.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69EE"/>
    <w:multiLevelType w:val="hybridMultilevel"/>
    <w:tmpl w:val="39D64340"/>
    <w:lvl w:ilvl="0" w:tplc="E522E664">
      <w:start w:val="1"/>
      <w:numFmt w:val="upperRoman"/>
      <w:lvlText w:val="%1."/>
      <w:lvlJc w:val="left"/>
      <w:pPr>
        <w:ind w:left="1080" w:hanging="72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02A5BD0"/>
    <w:multiLevelType w:val="multilevel"/>
    <w:tmpl w:val="2DFC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476CBC"/>
    <w:multiLevelType w:val="hybridMultilevel"/>
    <w:tmpl w:val="70CA52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D"/>
    <w:rsid w:val="000316C7"/>
    <w:rsid w:val="00032874"/>
    <w:rsid w:val="0005446B"/>
    <w:rsid w:val="00057775"/>
    <w:rsid w:val="00095FC7"/>
    <w:rsid w:val="000C0ED6"/>
    <w:rsid w:val="000C17D4"/>
    <w:rsid w:val="000D1A2C"/>
    <w:rsid w:val="000F2A75"/>
    <w:rsid w:val="00127A36"/>
    <w:rsid w:val="00147589"/>
    <w:rsid w:val="00161C1B"/>
    <w:rsid w:val="00187F0A"/>
    <w:rsid w:val="00196B3A"/>
    <w:rsid w:val="001B2C3F"/>
    <w:rsid w:val="001C0BD3"/>
    <w:rsid w:val="001D0D0E"/>
    <w:rsid w:val="001F7E5E"/>
    <w:rsid w:val="002448CB"/>
    <w:rsid w:val="0025491D"/>
    <w:rsid w:val="00255BE1"/>
    <w:rsid w:val="002A5816"/>
    <w:rsid w:val="002C78D4"/>
    <w:rsid w:val="002F77FB"/>
    <w:rsid w:val="00300484"/>
    <w:rsid w:val="00332536"/>
    <w:rsid w:val="00341E7D"/>
    <w:rsid w:val="00362FFF"/>
    <w:rsid w:val="00374BA0"/>
    <w:rsid w:val="00383577"/>
    <w:rsid w:val="003864B0"/>
    <w:rsid w:val="003C3018"/>
    <w:rsid w:val="003D2729"/>
    <w:rsid w:val="003E2FD0"/>
    <w:rsid w:val="003E7817"/>
    <w:rsid w:val="004306B5"/>
    <w:rsid w:val="004649D4"/>
    <w:rsid w:val="00467C9B"/>
    <w:rsid w:val="004700DB"/>
    <w:rsid w:val="004918C3"/>
    <w:rsid w:val="004A6EB9"/>
    <w:rsid w:val="004B6A02"/>
    <w:rsid w:val="004C16A6"/>
    <w:rsid w:val="004D3D7A"/>
    <w:rsid w:val="0050734A"/>
    <w:rsid w:val="005218CD"/>
    <w:rsid w:val="00526160"/>
    <w:rsid w:val="00534CB7"/>
    <w:rsid w:val="0053576E"/>
    <w:rsid w:val="00542B2A"/>
    <w:rsid w:val="0054449A"/>
    <w:rsid w:val="00546197"/>
    <w:rsid w:val="00555F87"/>
    <w:rsid w:val="005B2EF1"/>
    <w:rsid w:val="005D04CF"/>
    <w:rsid w:val="005D4C39"/>
    <w:rsid w:val="0061511B"/>
    <w:rsid w:val="00635FFD"/>
    <w:rsid w:val="00650B55"/>
    <w:rsid w:val="00653A92"/>
    <w:rsid w:val="00662F8D"/>
    <w:rsid w:val="006A7B9F"/>
    <w:rsid w:val="006B60FF"/>
    <w:rsid w:val="006D39C3"/>
    <w:rsid w:val="00783A6C"/>
    <w:rsid w:val="007C17D0"/>
    <w:rsid w:val="007F132A"/>
    <w:rsid w:val="00816FF9"/>
    <w:rsid w:val="00820741"/>
    <w:rsid w:val="008270A0"/>
    <w:rsid w:val="00830B39"/>
    <w:rsid w:val="00836AF8"/>
    <w:rsid w:val="00847FB9"/>
    <w:rsid w:val="00850D75"/>
    <w:rsid w:val="00861E43"/>
    <w:rsid w:val="0086593D"/>
    <w:rsid w:val="008755CF"/>
    <w:rsid w:val="00880A11"/>
    <w:rsid w:val="00883DB3"/>
    <w:rsid w:val="00884A7A"/>
    <w:rsid w:val="00895231"/>
    <w:rsid w:val="008C0D83"/>
    <w:rsid w:val="008C492D"/>
    <w:rsid w:val="008E7AD3"/>
    <w:rsid w:val="0090651D"/>
    <w:rsid w:val="00925BC1"/>
    <w:rsid w:val="0094195E"/>
    <w:rsid w:val="009520BA"/>
    <w:rsid w:val="0095310E"/>
    <w:rsid w:val="00957218"/>
    <w:rsid w:val="00972C9D"/>
    <w:rsid w:val="0099156A"/>
    <w:rsid w:val="009D6698"/>
    <w:rsid w:val="00A2338B"/>
    <w:rsid w:val="00A36A48"/>
    <w:rsid w:val="00A407E3"/>
    <w:rsid w:val="00A4783D"/>
    <w:rsid w:val="00A65158"/>
    <w:rsid w:val="00A74D12"/>
    <w:rsid w:val="00A8615A"/>
    <w:rsid w:val="00AC24EA"/>
    <w:rsid w:val="00AC3E4A"/>
    <w:rsid w:val="00B003CD"/>
    <w:rsid w:val="00B12D2F"/>
    <w:rsid w:val="00B209D2"/>
    <w:rsid w:val="00B20ED1"/>
    <w:rsid w:val="00B31B48"/>
    <w:rsid w:val="00B35433"/>
    <w:rsid w:val="00B91E2E"/>
    <w:rsid w:val="00BB60F7"/>
    <w:rsid w:val="00BD2347"/>
    <w:rsid w:val="00BE00B4"/>
    <w:rsid w:val="00BE5293"/>
    <w:rsid w:val="00BF01D4"/>
    <w:rsid w:val="00C6358D"/>
    <w:rsid w:val="00C700B1"/>
    <w:rsid w:val="00C80D7E"/>
    <w:rsid w:val="00C877AF"/>
    <w:rsid w:val="00CB422A"/>
    <w:rsid w:val="00CC18BD"/>
    <w:rsid w:val="00CD3B17"/>
    <w:rsid w:val="00CD3FB1"/>
    <w:rsid w:val="00CE4005"/>
    <w:rsid w:val="00CF3C58"/>
    <w:rsid w:val="00D03F81"/>
    <w:rsid w:val="00D110DC"/>
    <w:rsid w:val="00D246EA"/>
    <w:rsid w:val="00D26A25"/>
    <w:rsid w:val="00D728D0"/>
    <w:rsid w:val="00D8114E"/>
    <w:rsid w:val="00DE3D7B"/>
    <w:rsid w:val="00DF5AE4"/>
    <w:rsid w:val="00E65B2A"/>
    <w:rsid w:val="00EA2DE1"/>
    <w:rsid w:val="00EB4F8C"/>
    <w:rsid w:val="00ED7678"/>
    <w:rsid w:val="00EE6C66"/>
    <w:rsid w:val="00EE6F22"/>
    <w:rsid w:val="00EF4874"/>
    <w:rsid w:val="00F00E63"/>
    <w:rsid w:val="00F02B69"/>
    <w:rsid w:val="00F44E79"/>
    <w:rsid w:val="00F51BED"/>
    <w:rsid w:val="00F52460"/>
    <w:rsid w:val="00F75850"/>
    <w:rsid w:val="00F77E81"/>
    <w:rsid w:val="00F80C5B"/>
    <w:rsid w:val="00FC1083"/>
    <w:rsid w:val="00FF4B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B6A02"/>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4B6A02"/>
    <w:rPr>
      <w:rFonts w:ascii="Times New Roman" w:eastAsia="Times New Roman" w:hAnsi="Times New Roman" w:cs="Times New Roman"/>
      <w:sz w:val="20"/>
      <w:szCs w:val="20"/>
      <w:lang w:val="en-GB" w:eastAsia="en-GB"/>
    </w:rPr>
  </w:style>
  <w:style w:type="character" w:styleId="EndnoteReference">
    <w:name w:val="endnote reference"/>
    <w:basedOn w:val="DefaultParagraphFont"/>
    <w:rsid w:val="004B6A02"/>
    <w:rPr>
      <w:rFonts w:cs="Times New Roman"/>
      <w:vertAlign w:val="superscript"/>
    </w:rPr>
  </w:style>
  <w:style w:type="paragraph" w:styleId="NormalWeb">
    <w:name w:val="Normal (Web)"/>
    <w:basedOn w:val="Normal"/>
    <w:uiPriority w:val="99"/>
    <w:rsid w:val="004B6A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B6A02"/>
    <w:rPr>
      <w:rFonts w:cs="Times New Roman"/>
      <w:b/>
      <w:bCs/>
    </w:rPr>
  </w:style>
  <w:style w:type="paragraph" w:styleId="BalloonText">
    <w:name w:val="Balloon Text"/>
    <w:basedOn w:val="Normal"/>
    <w:link w:val="BalloonTextChar"/>
    <w:uiPriority w:val="99"/>
    <w:semiHidden/>
    <w:unhideWhenUsed/>
    <w:rsid w:val="0095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BA"/>
    <w:rPr>
      <w:rFonts w:ascii="Tahoma" w:hAnsi="Tahoma" w:cs="Tahoma"/>
      <w:sz w:val="16"/>
      <w:szCs w:val="16"/>
    </w:rPr>
  </w:style>
  <w:style w:type="paragraph" w:styleId="ListParagraph">
    <w:name w:val="List Paragraph"/>
    <w:basedOn w:val="Normal"/>
    <w:uiPriority w:val="34"/>
    <w:qFormat/>
    <w:rsid w:val="005D04CF"/>
    <w:pPr>
      <w:ind w:left="720"/>
      <w:contextualSpacing/>
    </w:pPr>
  </w:style>
  <w:style w:type="character" w:styleId="CommentReference">
    <w:name w:val="annotation reference"/>
    <w:basedOn w:val="DefaultParagraphFont"/>
    <w:uiPriority w:val="99"/>
    <w:semiHidden/>
    <w:unhideWhenUsed/>
    <w:rsid w:val="00BB60F7"/>
    <w:rPr>
      <w:sz w:val="16"/>
      <w:szCs w:val="16"/>
    </w:rPr>
  </w:style>
  <w:style w:type="paragraph" w:styleId="CommentText">
    <w:name w:val="annotation text"/>
    <w:basedOn w:val="Normal"/>
    <w:link w:val="CommentTextChar"/>
    <w:uiPriority w:val="99"/>
    <w:semiHidden/>
    <w:unhideWhenUsed/>
    <w:rsid w:val="00BB60F7"/>
    <w:pPr>
      <w:spacing w:line="240" w:lineRule="auto"/>
    </w:pPr>
    <w:rPr>
      <w:sz w:val="20"/>
      <w:szCs w:val="20"/>
    </w:rPr>
  </w:style>
  <w:style w:type="character" w:customStyle="1" w:styleId="CommentTextChar">
    <w:name w:val="Comment Text Char"/>
    <w:basedOn w:val="DefaultParagraphFont"/>
    <w:link w:val="CommentText"/>
    <w:uiPriority w:val="99"/>
    <w:semiHidden/>
    <w:rsid w:val="00BB60F7"/>
    <w:rPr>
      <w:sz w:val="20"/>
      <w:szCs w:val="20"/>
    </w:rPr>
  </w:style>
  <w:style w:type="paragraph" w:styleId="CommentSubject">
    <w:name w:val="annotation subject"/>
    <w:basedOn w:val="CommentText"/>
    <w:next w:val="CommentText"/>
    <w:link w:val="CommentSubjectChar"/>
    <w:uiPriority w:val="99"/>
    <w:semiHidden/>
    <w:unhideWhenUsed/>
    <w:rsid w:val="00BB60F7"/>
    <w:rPr>
      <w:b/>
      <w:bCs/>
    </w:rPr>
  </w:style>
  <w:style w:type="character" w:customStyle="1" w:styleId="CommentSubjectChar">
    <w:name w:val="Comment Subject Char"/>
    <w:basedOn w:val="CommentTextChar"/>
    <w:link w:val="CommentSubject"/>
    <w:uiPriority w:val="99"/>
    <w:semiHidden/>
    <w:rsid w:val="00BB60F7"/>
    <w:rPr>
      <w:b/>
      <w:bCs/>
      <w:sz w:val="20"/>
      <w:szCs w:val="20"/>
    </w:rPr>
  </w:style>
  <w:style w:type="paragraph" w:styleId="FootnoteText">
    <w:name w:val="footnote text"/>
    <w:basedOn w:val="Normal"/>
    <w:link w:val="FootnoteTextChar"/>
    <w:uiPriority w:val="99"/>
    <w:semiHidden/>
    <w:rsid w:val="00CF3C5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F3C58"/>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semiHidden/>
    <w:unhideWhenUsed/>
    <w:rsid w:val="00F52460"/>
    <w:rPr>
      <w:color w:val="0000FF"/>
      <w:u w:val="single"/>
    </w:rPr>
  </w:style>
  <w:style w:type="character" w:styleId="Emphasis">
    <w:name w:val="Emphasis"/>
    <w:basedOn w:val="DefaultParagraphFont"/>
    <w:uiPriority w:val="20"/>
    <w:qFormat/>
    <w:rsid w:val="00F52460"/>
    <w:rPr>
      <w:i/>
      <w:iCs/>
    </w:rPr>
  </w:style>
  <w:style w:type="character" w:styleId="FootnoteReference">
    <w:name w:val="footnote reference"/>
    <w:basedOn w:val="DefaultParagraphFont"/>
    <w:uiPriority w:val="99"/>
    <w:semiHidden/>
    <w:unhideWhenUsed/>
    <w:rsid w:val="0050734A"/>
    <w:rPr>
      <w:vertAlign w:val="superscript"/>
    </w:rPr>
  </w:style>
  <w:style w:type="table" w:styleId="TableGrid">
    <w:name w:val="Table Grid"/>
    <w:basedOn w:val="TableNormal"/>
    <w:uiPriority w:val="59"/>
    <w:rsid w:val="00161C1B"/>
    <w:pPr>
      <w:spacing w:after="0" w:line="240" w:lineRule="auto"/>
      <w:jc w:val="both"/>
    </w:pPr>
    <w:rPr>
      <w:rFonts w:ascii="Times New Roman" w:hAnsi="Times New Roman" w:cs="Times New Roman"/>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A2D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2DE1"/>
    <w:rPr>
      <w:rFonts w:ascii="Calibri" w:hAnsi="Calibri"/>
      <w:szCs w:val="21"/>
    </w:rPr>
  </w:style>
  <w:style w:type="paragraph" w:styleId="Header">
    <w:name w:val="header"/>
    <w:basedOn w:val="Normal"/>
    <w:link w:val="HeaderChar"/>
    <w:uiPriority w:val="99"/>
    <w:unhideWhenUsed/>
    <w:rsid w:val="005261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26160"/>
  </w:style>
  <w:style w:type="paragraph" w:styleId="Footer">
    <w:name w:val="footer"/>
    <w:basedOn w:val="Normal"/>
    <w:link w:val="FooterChar"/>
    <w:uiPriority w:val="99"/>
    <w:unhideWhenUsed/>
    <w:rsid w:val="005261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6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B6A02"/>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4B6A02"/>
    <w:rPr>
      <w:rFonts w:ascii="Times New Roman" w:eastAsia="Times New Roman" w:hAnsi="Times New Roman" w:cs="Times New Roman"/>
      <w:sz w:val="20"/>
      <w:szCs w:val="20"/>
      <w:lang w:val="en-GB" w:eastAsia="en-GB"/>
    </w:rPr>
  </w:style>
  <w:style w:type="character" w:styleId="EndnoteReference">
    <w:name w:val="endnote reference"/>
    <w:basedOn w:val="DefaultParagraphFont"/>
    <w:rsid w:val="004B6A02"/>
    <w:rPr>
      <w:rFonts w:cs="Times New Roman"/>
      <w:vertAlign w:val="superscript"/>
    </w:rPr>
  </w:style>
  <w:style w:type="paragraph" w:styleId="NormalWeb">
    <w:name w:val="Normal (Web)"/>
    <w:basedOn w:val="Normal"/>
    <w:uiPriority w:val="99"/>
    <w:rsid w:val="004B6A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B6A02"/>
    <w:rPr>
      <w:rFonts w:cs="Times New Roman"/>
      <w:b/>
      <w:bCs/>
    </w:rPr>
  </w:style>
  <w:style w:type="paragraph" w:styleId="BalloonText">
    <w:name w:val="Balloon Text"/>
    <w:basedOn w:val="Normal"/>
    <w:link w:val="BalloonTextChar"/>
    <w:uiPriority w:val="99"/>
    <w:semiHidden/>
    <w:unhideWhenUsed/>
    <w:rsid w:val="0095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BA"/>
    <w:rPr>
      <w:rFonts w:ascii="Tahoma" w:hAnsi="Tahoma" w:cs="Tahoma"/>
      <w:sz w:val="16"/>
      <w:szCs w:val="16"/>
    </w:rPr>
  </w:style>
  <w:style w:type="paragraph" w:styleId="ListParagraph">
    <w:name w:val="List Paragraph"/>
    <w:basedOn w:val="Normal"/>
    <w:uiPriority w:val="34"/>
    <w:qFormat/>
    <w:rsid w:val="005D04CF"/>
    <w:pPr>
      <w:ind w:left="720"/>
      <w:contextualSpacing/>
    </w:pPr>
  </w:style>
  <w:style w:type="character" w:styleId="CommentReference">
    <w:name w:val="annotation reference"/>
    <w:basedOn w:val="DefaultParagraphFont"/>
    <w:uiPriority w:val="99"/>
    <w:semiHidden/>
    <w:unhideWhenUsed/>
    <w:rsid w:val="00BB60F7"/>
    <w:rPr>
      <w:sz w:val="16"/>
      <w:szCs w:val="16"/>
    </w:rPr>
  </w:style>
  <w:style w:type="paragraph" w:styleId="CommentText">
    <w:name w:val="annotation text"/>
    <w:basedOn w:val="Normal"/>
    <w:link w:val="CommentTextChar"/>
    <w:uiPriority w:val="99"/>
    <w:semiHidden/>
    <w:unhideWhenUsed/>
    <w:rsid w:val="00BB60F7"/>
    <w:pPr>
      <w:spacing w:line="240" w:lineRule="auto"/>
    </w:pPr>
    <w:rPr>
      <w:sz w:val="20"/>
      <w:szCs w:val="20"/>
    </w:rPr>
  </w:style>
  <w:style w:type="character" w:customStyle="1" w:styleId="CommentTextChar">
    <w:name w:val="Comment Text Char"/>
    <w:basedOn w:val="DefaultParagraphFont"/>
    <w:link w:val="CommentText"/>
    <w:uiPriority w:val="99"/>
    <w:semiHidden/>
    <w:rsid w:val="00BB60F7"/>
    <w:rPr>
      <w:sz w:val="20"/>
      <w:szCs w:val="20"/>
    </w:rPr>
  </w:style>
  <w:style w:type="paragraph" w:styleId="CommentSubject">
    <w:name w:val="annotation subject"/>
    <w:basedOn w:val="CommentText"/>
    <w:next w:val="CommentText"/>
    <w:link w:val="CommentSubjectChar"/>
    <w:uiPriority w:val="99"/>
    <w:semiHidden/>
    <w:unhideWhenUsed/>
    <w:rsid w:val="00BB60F7"/>
    <w:rPr>
      <w:b/>
      <w:bCs/>
    </w:rPr>
  </w:style>
  <w:style w:type="character" w:customStyle="1" w:styleId="CommentSubjectChar">
    <w:name w:val="Comment Subject Char"/>
    <w:basedOn w:val="CommentTextChar"/>
    <w:link w:val="CommentSubject"/>
    <w:uiPriority w:val="99"/>
    <w:semiHidden/>
    <w:rsid w:val="00BB60F7"/>
    <w:rPr>
      <w:b/>
      <w:bCs/>
      <w:sz w:val="20"/>
      <w:szCs w:val="20"/>
    </w:rPr>
  </w:style>
  <w:style w:type="paragraph" w:styleId="FootnoteText">
    <w:name w:val="footnote text"/>
    <w:basedOn w:val="Normal"/>
    <w:link w:val="FootnoteTextChar"/>
    <w:uiPriority w:val="99"/>
    <w:semiHidden/>
    <w:rsid w:val="00CF3C5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F3C58"/>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semiHidden/>
    <w:unhideWhenUsed/>
    <w:rsid w:val="00F52460"/>
    <w:rPr>
      <w:color w:val="0000FF"/>
      <w:u w:val="single"/>
    </w:rPr>
  </w:style>
  <w:style w:type="character" w:styleId="Emphasis">
    <w:name w:val="Emphasis"/>
    <w:basedOn w:val="DefaultParagraphFont"/>
    <w:uiPriority w:val="20"/>
    <w:qFormat/>
    <w:rsid w:val="00F52460"/>
    <w:rPr>
      <w:i/>
      <w:iCs/>
    </w:rPr>
  </w:style>
  <w:style w:type="character" w:styleId="FootnoteReference">
    <w:name w:val="footnote reference"/>
    <w:basedOn w:val="DefaultParagraphFont"/>
    <w:uiPriority w:val="99"/>
    <w:semiHidden/>
    <w:unhideWhenUsed/>
    <w:rsid w:val="0050734A"/>
    <w:rPr>
      <w:vertAlign w:val="superscript"/>
    </w:rPr>
  </w:style>
  <w:style w:type="table" w:styleId="TableGrid">
    <w:name w:val="Table Grid"/>
    <w:basedOn w:val="TableNormal"/>
    <w:uiPriority w:val="59"/>
    <w:rsid w:val="00161C1B"/>
    <w:pPr>
      <w:spacing w:after="0" w:line="240" w:lineRule="auto"/>
      <w:jc w:val="both"/>
    </w:pPr>
    <w:rPr>
      <w:rFonts w:ascii="Times New Roman" w:hAnsi="Times New Roman" w:cs="Times New Roman"/>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A2D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2DE1"/>
    <w:rPr>
      <w:rFonts w:ascii="Calibri" w:hAnsi="Calibri"/>
      <w:szCs w:val="21"/>
    </w:rPr>
  </w:style>
  <w:style w:type="paragraph" w:styleId="Header">
    <w:name w:val="header"/>
    <w:basedOn w:val="Normal"/>
    <w:link w:val="HeaderChar"/>
    <w:uiPriority w:val="99"/>
    <w:unhideWhenUsed/>
    <w:rsid w:val="005261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26160"/>
  </w:style>
  <w:style w:type="paragraph" w:styleId="Footer">
    <w:name w:val="footer"/>
    <w:basedOn w:val="Normal"/>
    <w:link w:val="FooterChar"/>
    <w:uiPriority w:val="99"/>
    <w:unhideWhenUsed/>
    <w:rsid w:val="005261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2775">
      <w:bodyDiv w:val="1"/>
      <w:marLeft w:val="0"/>
      <w:marRight w:val="0"/>
      <w:marTop w:val="0"/>
      <w:marBottom w:val="0"/>
      <w:divBdr>
        <w:top w:val="none" w:sz="0" w:space="0" w:color="auto"/>
        <w:left w:val="none" w:sz="0" w:space="0" w:color="auto"/>
        <w:bottom w:val="none" w:sz="0" w:space="0" w:color="auto"/>
        <w:right w:val="none" w:sz="0" w:space="0" w:color="auto"/>
      </w:divBdr>
    </w:div>
    <w:div w:id="1402488395">
      <w:bodyDiv w:val="1"/>
      <w:marLeft w:val="0"/>
      <w:marRight w:val="0"/>
      <w:marTop w:val="0"/>
      <w:marBottom w:val="0"/>
      <w:divBdr>
        <w:top w:val="none" w:sz="0" w:space="0" w:color="auto"/>
        <w:left w:val="none" w:sz="0" w:space="0" w:color="auto"/>
        <w:bottom w:val="none" w:sz="0" w:space="0" w:color="auto"/>
        <w:right w:val="none" w:sz="0" w:space="0" w:color="auto"/>
      </w:divBdr>
    </w:div>
    <w:div w:id="1620255124">
      <w:bodyDiv w:val="1"/>
      <w:marLeft w:val="0"/>
      <w:marRight w:val="0"/>
      <w:marTop w:val="0"/>
      <w:marBottom w:val="375"/>
      <w:divBdr>
        <w:top w:val="none" w:sz="0" w:space="0" w:color="auto"/>
        <w:left w:val="none" w:sz="0" w:space="0" w:color="auto"/>
        <w:bottom w:val="none" w:sz="0" w:space="0" w:color="auto"/>
        <w:right w:val="none" w:sz="0" w:space="0" w:color="auto"/>
      </w:divBdr>
      <w:divsChild>
        <w:div w:id="1406563692">
          <w:marLeft w:val="0"/>
          <w:marRight w:val="0"/>
          <w:marTop w:val="0"/>
          <w:marBottom w:val="0"/>
          <w:divBdr>
            <w:top w:val="none" w:sz="0" w:space="0" w:color="auto"/>
            <w:left w:val="none" w:sz="0" w:space="0" w:color="auto"/>
            <w:bottom w:val="none" w:sz="0" w:space="0" w:color="auto"/>
            <w:right w:val="none" w:sz="0" w:space="0" w:color="auto"/>
          </w:divBdr>
          <w:divsChild>
            <w:div w:id="1488399559">
              <w:marLeft w:val="0"/>
              <w:marRight w:val="0"/>
              <w:marTop w:val="0"/>
              <w:marBottom w:val="0"/>
              <w:divBdr>
                <w:top w:val="none" w:sz="0" w:space="0" w:color="auto"/>
                <w:left w:val="none" w:sz="0" w:space="0" w:color="auto"/>
                <w:bottom w:val="none" w:sz="0" w:space="0" w:color="auto"/>
                <w:right w:val="none" w:sz="0" w:space="0" w:color="auto"/>
              </w:divBdr>
              <w:divsChild>
                <w:div w:id="1662734527">
                  <w:marLeft w:val="0"/>
                  <w:marRight w:val="0"/>
                  <w:marTop w:val="0"/>
                  <w:marBottom w:val="0"/>
                  <w:divBdr>
                    <w:top w:val="none" w:sz="0" w:space="0" w:color="auto"/>
                    <w:left w:val="none" w:sz="0" w:space="0" w:color="auto"/>
                    <w:bottom w:val="none" w:sz="0" w:space="0" w:color="auto"/>
                    <w:right w:val="none" w:sz="0" w:space="0" w:color="auto"/>
                  </w:divBdr>
                  <w:divsChild>
                    <w:div w:id="1030642270">
                      <w:marLeft w:val="0"/>
                      <w:marRight w:val="0"/>
                      <w:marTop w:val="0"/>
                      <w:marBottom w:val="0"/>
                      <w:divBdr>
                        <w:top w:val="none" w:sz="0" w:space="0" w:color="auto"/>
                        <w:left w:val="none" w:sz="0" w:space="0" w:color="auto"/>
                        <w:bottom w:val="none" w:sz="0" w:space="0" w:color="auto"/>
                        <w:right w:val="none" w:sz="0" w:space="0" w:color="auto"/>
                      </w:divBdr>
                      <w:divsChild>
                        <w:div w:id="1345941153">
                          <w:marLeft w:val="0"/>
                          <w:marRight w:val="0"/>
                          <w:marTop w:val="0"/>
                          <w:marBottom w:val="0"/>
                          <w:divBdr>
                            <w:top w:val="none" w:sz="0" w:space="0" w:color="auto"/>
                            <w:left w:val="none" w:sz="0" w:space="0" w:color="auto"/>
                            <w:bottom w:val="none" w:sz="0" w:space="0" w:color="auto"/>
                            <w:right w:val="none" w:sz="0" w:space="0" w:color="auto"/>
                          </w:divBdr>
                          <w:divsChild>
                            <w:div w:id="2142721546">
                              <w:marLeft w:val="0"/>
                              <w:marRight w:val="0"/>
                              <w:marTop w:val="120"/>
                              <w:marBottom w:val="0"/>
                              <w:divBdr>
                                <w:top w:val="none" w:sz="0" w:space="0" w:color="auto"/>
                                <w:left w:val="none" w:sz="0" w:space="0" w:color="auto"/>
                                <w:bottom w:val="none" w:sz="0" w:space="0" w:color="auto"/>
                                <w:right w:val="none" w:sz="0" w:space="0" w:color="auto"/>
                              </w:divBdr>
                              <w:divsChild>
                                <w:div w:id="839079465">
                                  <w:marLeft w:val="0"/>
                                  <w:marRight w:val="0"/>
                                  <w:marTop w:val="0"/>
                                  <w:marBottom w:val="0"/>
                                  <w:divBdr>
                                    <w:top w:val="none" w:sz="0" w:space="0" w:color="auto"/>
                                    <w:left w:val="none" w:sz="0" w:space="0" w:color="auto"/>
                                    <w:bottom w:val="none" w:sz="0" w:space="0" w:color="auto"/>
                                    <w:right w:val="none" w:sz="0" w:space="0" w:color="auto"/>
                                  </w:divBdr>
                                  <w:divsChild>
                                    <w:div w:id="775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48113">
      <w:bodyDiv w:val="1"/>
      <w:marLeft w:val="0"/>
      <w:marRight w:val="0"/>
      <w:marTop w:val="0"/>
      <w:marBottom w:val="0"/>
      <w:divBdr>
        <w:top w:val="none" w:sz="0" w:space="0" w:color="auto"/>
        <w:left w:val="none" w:sz="0" w:space="0" w:color="auto"/>
        <w:bottom w:val="none" w:sz="0" w:space="0" w:color="auto"/>
        <w:right w:val="none" w:sz="0" w:space="0" w:color="auto"/>
      </w:divBdr>
    </w:div>
    <w:div w:id="1763717911">
      <w:bodyDiv w:val="1"/>
      <w:marLeft w:val="0"/>
      <w:marRight w:val="0"/>
      <w:marTop w:val="0"/>
      <w:marBottom w:val="0"/>
      <w:divBdr>
        <w:top w:val="none" w:sz="0" w:space="0" w:color="auto"/>
        <w:left w:val="none" w:sz="0" w:space="0" w:color="auto"/>
        <w:bottom w:val="none" w:sz="0" w:space="0" w:color="auto"/>
        <w:right w:val="none" w:sz="0" w:space="0" w:color="auto"/>
      </w:divBdr>
    </w:div>
    <w:div w:id="18690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uropapress.es/nacional/noticia-izquierda-abertzale-insta-votar-papeletas-d3m-20090213213342.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6FFD-9206-4DBE-9BFF-849A975B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9743</Words>
  <Characters>59439</Characters>
  <Application>Microsoft Office Word</Application>
  <DocSecurity>0</DocSecurity>
  <Lines>495</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Roskilde Universitet</Company>
  <LinksUpToDate>false</LinksUpToDate>
  <CharactersWithSpaces>69044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bourne</dc:creator>
  <cp:lastModifiedBy>bourne</cp:lastModifiedBy>
  <cp:revision>2</cp:revision>
  <cp:lastPrinted>2014-04-04T15:21:00Z</cp:lastPrinted>
  <dcterms:created xsi:type="dcterms:W3CDTF">2014-04-05T05:27:00Z</dcterms:created>
  <dcterms:modified xsi:type="dcterms:W3CDTF">2014-04-05T05:27:00Z</dcterms:modified>
</cp:coreProperties>
</file>