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E3" w:rsidRDefault="0050276A" w:rsidP="00E25E00">
      <w:pPr>
        <w:pStyle w:val="Overskrift2"/>
      </w:pPr>
      <w:bookmarkStart w:id="0" w:name="_GoBack"/>
      <w:bookmarkEnd w:id="0"/>
      <w:r w:rsidRPr="001651AA">
        <w:t>Fremtiden</w:t>
      </w:r>
      <w:r w:rsidR="00E25E00">
        <w:t xml:space="preserve"> for</w:t>
      </w:r>
      <w:r w:rsidR="0031187E">
        <w:t xml:space="preserve"> </w:t>
      </w:r>
      <w:r w:rsidR="0083111E">
        <w:t xml:space="preserve">bibliotekerne </w:t>
      </w:r>
      <w:r w:rsidR="0031187E">
        <w:t>banker på</w:t>
      </w:r>
    </w:p>
    <w:p w:rsidR="00E25E00" w:rsidRPr="00E25E00" w:rsidRDefault="00452032" w:rsidP="00E25E00">
      <w:pPr>
        <w:rPr>
          <w:i/>
        </w:rPr>
      </w:pPr>
      <w:r>
        <w:rPr>
          <w:i/>
        </w:rPr>
        <w:t xml:space="preserve">Er fremtiden dyster eller lys for </w:t>
      </w:r>
      <w:r w:rsidR="00E25E00">
        <w:rPr>
          <w:i/>
        </w:rPr>
        <w:t>forskningsbibliotek</w:t>
      </w:r>
      <w:r>
        <w:rPr>
          <w:i/>
        </w:rPr>
        <w:t xml:space="preserve">erne? Ny rapport om fremtidens forskningsbiblioteker lægger en række fremtidsscenarier frem til diskussion og inspiration. </w:t>
      </w:r>
    </w:p>
    <w:p w:rsidR="0031187E" w:rsidRDefault="0050276A">
      <w:r>
        <w:t>Danmarks Fo</w:t>
      </w:r>
      <w:r w:rsidR="00905884">
        <w:t xml:space="preserve">rskningsbiblioteksforening </w:t>
      </w:r>
      <w:r w:rsidR="0031187E">
        <w:t>nedsatte</w:t>
      </w:r>
      <w:r w:rsidR="00905884">
        <w:t xml:space="preserve"> i marts 2012 en arbejdsgruppe</w:t>
      </w:r>
      <w:r w:rsidR="0031187E">
        <w:t xml:space="preserve">, der fik til opgave på 20 sider at </w:t>
      </w:r>
      <w:r w:rsidR="00905884">
        <w:t xml:space="preserve">beskrive de vigtigste trends, der påvirker forsknings-, fag- og uddannelsesbibliotekernes </w:t>
      </w:r>
      <w:r w:rsidR="00BF027E">
        <w:t xml:space="preserve">(FFU-bibliotekernes) </w:t>
      </w:r>
      <w:r w:rsidR="00905884">
        <w:t>udvikling</w:t>
      </w:r>
      <w:r w:rsidR="0031187E">
        <w:t>. Gruppen skulle derudover også give et</w:t>
      </w:r>
      <w:r w:rsidR="00905884">
        <w:t xml:space="preserve"> bud på </w:t>
      </w:r>
      <w:r w:rsidR="0031187E">
        <w:t>bibliotekernes fremtidige hovedopgaver og</w:t>
      </w:r>
      <w:r w:rsidR="00905884">
        <w:t xml:space="preserve"> beskrive </w:t>
      </w:r>
      <w:r w:rsidR="00B0720B">
        <w:t xml:space="preserve">forskellige </w:t>
      </w:r>
      <w:r w:rsidR="00905884">
        <w:t>scenarier</w:t>
      </w:r>
      <w:r w:rsidR="0031187E">
        <w:t xml:space="preserve">, som kan komme til at kendetegne </w:t>
      </w:r>
      <w:r w:rsidR="00905884">
        <w:t>biblioteke</w:t>
      </w:r>
      <w:r w:rsidR="0031187E">
        <w:t xml:space="preserve">rnes </w:t>
      </w:r>
      <w:r w:rsidR="00905884">
        <w:t xml:space="preserve">fremtid. </w:t>
      </w:r>
    </w:p>
    <w:p w:rsidR="0031187E" w:rsidRDefault="0031187E" w:rsidP="0031187E">
      <w:r>
        <w:t>Der er ingen tvivl om, at bibliotekernes fremtid vil blive præget af drastiske ændringer</w:t>
      </w:r>
      <w:r w:rsidR="007106C0">
        <w:t>. I</w:t>
      </w:r>
      <w:r>
        <w:t>nformationslandskab</w:t>
      </w:r>
      <w:r w:rsidR="007106C0">
        <w:t xml:space="preserve">et kommer fremover til at </w:t>
      </w:r>
      <w:r>
        <w:t>bestå af massedigitalisering, e-publicering, digitale arkiver, virtuelle fællesskaber, brugergenereret indhold, digitale læringsobjekte</w:t>
      </w:r>
      <w:r w:rsidR="007106C0">
        <w:t xml:space="preserve">r og digitale datasæt i mængder </w:t>
      </w:r>
      <w:r>
        <w:t xml:space="preserve">som aldrig </w:t>
      </w:r>
      <w:r w:rsidR="007106C0">
        <w:t>før</w:t>
      </w:r>
      <w:r>
        <w:t xml:space="preserve">. </w:t>
      </w:r>
    </w:p>
    <w:p w:rsidR="0031187E" w:rsidRDefault="0031187E" w:rsidP="0031187E">
      <w:r>
        <w:t xml:space="preserve">Hvordan fremtidens forskningsbibliotek end kommer til at se ud, </w:t>
      </w:r>
      <w:r w:rsidR="007106C0">
        <w:t>er</w:t>
      </w:r>
      <w:r>
        <w:t xml:space="preserve"> det </w:t>
      </w:r>
      <w:r w:rsidR="007106C0">
        <w:t>helt</w:t>
      </w:r>
      <w:r>
        <w:t xml:space="preserve"> essentielt</w:t>
      </w:r>
      <w:r w:rsidR="00B0720B">
        <w:t>,</w:t>
      </w:r>
      <w:r>
        <w:t xml:space="preserve"> </w:t>
      </w:r>
      <w:r w:rsidR="007106C0">
        <w:t xml:space="preserve">at </w:t>
      </w:r>
      <w:r>
        <w:t>biblioteke</w:t>
      </w:r>
      <w:r w:rsidR="007106C0">
        <w:t>rne</w:t>
      </w:r>
      <w:r>
        <w:t xml:space="preserve"> allerede nu </w:t>
      </w:r>
      <w:r w:rsidR="007106C0">
        <w:t>etablerer</w:t>
      </w:r>
      <w:r>
        <w:t xml:space="preserve"> gode relationer til forsknings- og undervisningsmiljøerne</w:t>
      </w:r>
      <w:r w:rsidR="007106C0">
        <w:t>,</w:t>
      </w:r>
      <w:r>
        <w:t xml:space="preserve"> og at </w:t>
      </w:r>
      <w:r w:rsidR="007106C0">
        <w:t xml:space="preserve">de </w:t>
      </w:r>
      <w:r>
        <w:t>udvikle</w:t>
      </w:r>
      <w:r w:rsidR="007106C0">
        <w:t>r</w:t>
      </w:r>
      <w:r>
        <w:t xml:space="preserve"> samarbejdet med eksterne leverandører og formidle</w:t>
      </w:r>
      <w:r w:rsidR="007106C0">
        <w:t>r</w:t>
      </w:r>
      <w:r>
        <w:t xml:space="preserve"> services frem for selv at udvikle og levere</w:t>
      </w:r>
      <w:r w:rsidR="007106C0">
        <w:t>. Det er ikke mindst vigtigt, at bibliotekerne</w:t>
      </w:r>
      <w:r>
        <w:t xml:space="preserve"> droppe</w:t>
      </w:r>
      <w:r w:rsidR="007106C0">
        <w:t>r</w:t>
      </w:r>
      <w:r>
        <w:t xml:space="preserve"> sikkerheden</w:t>
      </w:r>
      <w:r w:rsidR="006C581E">
        <w:t xml:space="preserve"> og i </w:t>
      </w:r>
      <w:r w:rsidR="007106C0">
        <w:t xml:space="preserve">stedet </w:t>
      </w:r>
      <w:r w:rsidR="006C581E">
        <w:t>er</w:t>
      </w:r>
      <w:r w:rsidR="007106C0">
        <w:t xml:space="preserve"> </w:t>
      </w:r>
      <w:r>
        <w:t>progressiv</w:t>
      </w:r>
      <w:r w:rsidR="007106C0">
        <w:t>e</w:t>
      </w:r>
      <w:r>
        <w:t xml:space="preserve"> og proaktiv</w:t>
      </w:r>
      <w:r w:rsidR="007106C0">
        <w:t>e</w:t>
      </w:r>
      <w:r w:rsidR="006C581E">
        <w:t xml:space="preserve"> – de </w:t>
      </w:r>
      <w:r>
        <w:t>traditionelle biblioteksopgaver, som vi kender dem i dag, er så godt som helt væk om 10 år.</w:t>
      </w:r>
    </w:p>
    <w:p w:rsidR="007106C0" w:rsidRDefault="006C581E">
      <w:r>
        <w:rPr>
          <w:b/>
        </w:rPr>
        <w:t>Fælles</w:t>
      </w:r>
      <w:r w:rsidRPr="006C581E">
        <w:rPr>
          <w:b/>
        </w:rPr>
        <w:t xml:space="preserve"> udviklingstrends for bibliotekerne</w:t>
      </w:r>
      <w:r w:rsidR="0031187E">
        <w:br/>
      </w:r>
      <w:r w:rsidR="00EF7ED7">
        <w:t>På baggrund af internationale undersøgelser</w:t>
      </w:r>
      <w:r w:rsidR="000D4405">
        <w:t xml:space="preserve"> </w:t>
      </w:r>
      <w:r w:rsidR="00EF7ED7">
        <w:t>og fr</w:t>
      </w:r>
      <w:r w:rsidR="001651AA">
        <w:t xml:space="preserve">emtidsanalyser kan der uddrages en lang række tendenser, som </w:t>
      </w:r>
      <w:r w:rsidR="007106C0">
        <w:t xml:space="preserve">sandsynligvis </w:t>
      </w:r>
      <w:r w:rsidR="001651AA">
        <w:t>ikke blot vil påvirke biblioteksudviklingen, men som i visse tilfælde allerede</w:t>
      </w:r>
      <w:r w:rsidR="00340328">
        <w:t xml:space="preserve"> </w:t>
      </w:r>
      <w:r w:rsidR="007106C0">
        <w:t>af</w:t>
      </w:r>
      <w:r w:rsidR="001651AA">
        <w:t>sætte</w:t>
      </w:r>
      <w:r w:rsidR="00340328">
        <w:t>r</w:t>
      </w:r>
      <w:r w:rsidR="007106C0">
        <w:t xml:space="preserve"> </w:t>
      </w:r>
      <w:r w:rsidR="001651AA">
        <w:t xml:space="preserve">spor i den virksomhed, som udøves på flere af landets </w:t>
      </w:r>
      <w:r w:rsidR="003411BC">
        <w:t>FFU-biblioteker</w:t>
      </w:r>
      <w:r w:rsidR="001651AA">
        <w:t>.</w:t>
      </w:r>
      <w:r w:rsidR="00AE1F72">
        <w:t xml:space="preserve"> Det interessante i et sådant undersøgelsesarbejde er at konstatere, at der faktisk er udviklingstrends, som er helt parallelle for biblioteker verden over</w:t>
      </w:r>
      <w:r w:rsidR="007106C0">
        <w:t xml:space="preserve"> – </w:t>
      </w:r>
      <w:r w:rsidR="00AE1F72">
        <w:t xml:space="preserve">uanset de forskellige </w:t>
      </w:r>
      <w:r w:rsidR="007106C0">
        <w:t xml:space="preserve">politiske, økonomiske og sociale </w:t>
      </w:r>
      <w:r w:rsidR="00AE1F72">
        <w:t xml:space="preserve">vilkår, som </w:t>
      </w:r>
      <w:r w:rsidR="007106C0">
        <w:t xml:space="preserve">de enkelte biblioteker eksisterer under. </w:t>
      </w:r>
    </w:p>
    <w:p w:rsidR="00EF7ED7" w:rsidRDefault="005B428C">
      <w:r>
        <w:t xml:space="preserve">I rapporten er henvist til </w:t>
      </w:r>
      <w:r w:rsidR="00340328">
        <w:t>flere undersø</w:t>
      </w:r>
      <w:r>
        <w:t>gelser, som hver især giver forskellige, men ofte sammenhængende, bud på udviklingstrends</w:t>
      </w:r>
      <w:r w:rsidR="003411BC">
        <w:t>. J</w:t>
      </w:r>
      <w:r>
        <w:t xml:space="preserve">eg vil </w:t>
      </w:r>
      <w:r w:rsidR="003411BC">
        <w:t xml:space="preserve">her </w:t>
      </w:r>
      <w:r>
        <w:t>nøjes med at henvise til d</w:t>
      </w:r>
      <w:r w:rsidR="00AE1F72">
        <w:t>en amerikanske tænketank Taiga Forum</w:t>
      </w:r>
      <w:r w:rsidR="007106C0">
        <w:t xml:space="preserve"> (</w:t>
      </w:r>
      <w:hyperlink r:id="rId9" w:history="1">
        <w:r w:rsidR="007106C0" w:rsidRPr="00D60A2E">
          <w:rPr>
            <w:rStyle w:val="Hyperlink"/>
          </w:rPr>
          <w:t>http://www.taiga-forum.org/</w:t>
        </w:r>
      </w:hyperlink>
      <w:r w:rsidR="007106C0">
        <w:rPr>
          <w:rStyle w:val="Hyperlink"/>
        </w:rPr>
        <w:t>)</w:t>
      </w:r>
      <w:r>
        <w:t xml:space="preserve">, som </w:t>
      </w:r>
      <w:r w:rsidR="00340328">
        <w:t xml:space="preserve">hvert andet år udsender </w:t>
      </w:r>
      <w:r>
        <w:t xml:space="preserve">provokerende udsagn om </w:t>
      </w:r>
      <w:r w:rsidR="003411BC">
        <w:t xml:space="preserve">den forventede </w:t>
      </w:r>
      <w:r>
        <w:t>biblioteksudvikling</w:t>
      </w:r>
      <w:r w:rsidR="00AE1F72">
        <w:t xml:space="preserve"> </w:t>
      </w:r>
      <w:r>
        <w:t>inden</w:t>
      </w:r>
      <w:r w:rsidR="007106C0">
        <w:t xml:space="preserve"> </w:t>
      </w:r>
      <w:r>
        <w:t>for de næst</w:t>
      </w:r>
      <w:r w:rsidR="007106C0">
        <w:t>e</w:t>
      </w:r>
      <w:r>
        <w:t xml:space="preserve"> </w:t>
      </w:r>
      <w:r w:rsidR="007106C0">
        <w:t>fem</w:t>
      </w:r>
      <w:r>
        <w:t xml:space="preserve"> år. Det må konstateres, at de i langt de fleste tilfælde har haft særdeles god føling med </w:t>
      </w:r>
      <w:r w:rsidR="006C581E">
        <w:t xml:space="preserve">ikke kun </w:t>
      </w:r>
      <w:r>
        <w:t>samfundet</w:t>
      </w:r>
      <w:r w:rsidR="006C581E">
        <w:t xml:space="preserve">s udvikling, men også </w:t>
      </w:r>
      <w:r>
        <w:t>forskningsbibliotekerne</w:t>
      </w:r>
      <w:r w:rsidR="006C581E">
        <w:t>s</w:t>
      </w:r>
      <w:r>
        <w:t>. Her er stof til eftertanke for enhver b</w:t>
      </w:r>
      <w:r w:rsidR="007206F0">
        <w:t>iblioteksorganisation.</w:t>
      </w:r>
    </w:p>
    <w:p w:rsidR="006C581E" w:rsidRDefault="007206F0">
      <w:r>
        <w:t xml:space="preserve">Hvordan vil fremtidens forskningsbibliotek så forandres? </w:t>
      </w:r>
      <w:r w:rsidR="003411BC">
        <w:t xml:space="preserve">Det må </w:t>
      </w:r>
      <w:r>
        <w:t>besvares på baggrund</w:t>
      </w:r>
      <w:r w:rsidR="00C91C85">
        <w:t xml:space="preserve"> af de tendenser, som </w:t>
      </w:r>
      <w:r w:rsidR="001F0D2F">
        <w:t xml:space="preserve">i mere eller mindre grad allerede </w:t>
      </w:r>
      <w:r w:rsidR="00C91C85">
        <w:t xml:space="preserve">er synlige, </w:t>
      </w:r>
      <w:r w:rsidR="006C581E">
        <w:t xml:space="preserve">og som </w:t>
      </w:r>
      <w:r w:rsidR="00C91C85">
        <w:t xml:space="preserve">må give anledning til </w:t>
      </w:r>
      <w:r w:rsidR="006C581E">
        <w:t xml:space="preserve">lokale </w:t>
      </w:r>
      <w:r w:rsidR="00C91C85">
        <w:t>drøftelse</w:t>
      </w:r>
      <w:r w:rsidR="006C581E">
        <w:t>r</w:t>
      </w:r>
      <w:r w:rsidR="00C91C85">
        <w:t xml:space="preserve">, </w:t>
      </w:r>
      <w:r w:rsidR="006C581E">
        <w:t>hvorvidt tendenserne opfattes</w:t>
      </w:r>
      <w:r w:rsidR="00C91C85">
        <w:t xml:space="preserve"> som trusler eller udfordringer</w:t>
      </w:r>
      <w:r w:rsidR="006C581E">
        <w:t>:</w:t>
      </w:r>
    </w:p>
    <w:p w:rsidR="00C91C85" w:rsidRDefault="00C91C85" w:rsidP="00C91C85">
      <w:pPr>
        <w:pStyle w:val="Listeafsnit"/>
        <w:numPr>
          <w:ilvl w:val="0"/>
          <w:numId w:val="3"/>
        </w:numPr>
      </w:pPr>
      <w:r>
        <w:t>Bibliotekets autonomi blive</w:t>
      </w:r>
      <w:r w:rsidR="00340328">
        <w:t>r</w:t>
      </w:r>
      <w:r>
        <w:t xml:space="preserve"> fokuseret</w:t>
      </w:r>
      <w:r w:rsidR="003F6FAE">
        <w:t xml:space="preserve"> og udfordret</w:t>
      </w:r>
      <w:r w:rsidR="006C581E">
        <w:t>.</w:t>
      </w:r>
    </w:p>
    <w:p w:rsidR="003F6FAE" w:rsidRDefault="003F6FAE" w:rsidP="00C91C85">
      <w:pPr>
        <w:pStyle w:val="Listeafsnit"/>
        <w:numPr>
          <w:ilvl w:val="0"/>
          <w:numId w:val="3"/>
        </w:numPr>
      </w:pPr>
      <w:r>
        <w:t xml:space="preserve">Samarbejde, partnerskaber og fusioner </w:t>
      </w:r>
      <w:r w:rsidR="00340328">
        <w:t xml:space="preserve">bliver </w:t>
      </w:r>
      <w:r w:rsidR="007B0E90">
        <w:t>i endnu højere grad end hidtil et vilkår</w:t>
      </w:r>
      <w:r w:rsidR="006C581E">
        <w:t>.</w:t>
      </w:r>
    </w:p>
    <w:p w:rsidR="007B0E90" w:rsidRDefault="007B0E90" w:rsidP="00C91C85">
      <w:pPr>
        <w:pStyle w:val="Listeafsnit"/>
        <w:numPr>
          <w:ilvl w:val="0"/>
          <w:numId w:val="3"/>
        </w:numPr>
      </w:pPr>
      <w:r>
        <w:t>Budgetudfordringerne bliver stadigt større</w:t>
      </w:r>
      <w:r w:rsidR="00CF3D45">
        <w:t>.</w:t>
      </w:r>
      <w:r w:rsidR="001F0D2F">
        <w:t xml:space="preserve"> Den faldende efterspørgsel på traditionelle biblioteksydelser indgå</w:t>
      </w:r>
      <w:r w:rsidR="00340328">
        <w:t>r</w:t>
      </w:r>
      <w:r w:rsidR="001F0D2F">
        <w:t xml:space="preserve"> som en udfordring for budgettildeling, </w:t>
      </w:r>
      <w:r w:rsidR="006C581E">
        <w:t xml:space="preserve">og </w:t>
      </w:r>
      <w:r w:rsidR="001F0D2F">
        <w:t>samtidig øge</w:t>
      </w:r>
      <w:r w:rsidR="006C581E">
        <w:t>s</w:t>
      </w:r>
      <w:r w:rsidR="001F0D2F">
        <w:t xml:space="preserve"> krav</w:t>
      </w:r>
      <w:r w:rsidR="006C581E">
        <w:t>ene</w:t>
      </w:r>
      <w:r w:rsidR="001F0D2F">
        <w:t xml:space="preserve"> om samarbejde, outsourcing, delte samlinger, de</w:t>
      </w:r>
      <w:r w:rsidR="000D4405">
        <w:t>lte tjenester og delt personale</w:t>
      </w:r>
      <w:r w:rsidR="006C581E">
        <w:t>.</w:t>
      </w:r>
    </w:p>
    <w:p w:rsidR="007B0E90" w:rsidRDefault="007B0E90" w:rsidP="00C91C85">
      <w:pPr>
        <w:pStyle w:val="Listeafsnit"/>
        <w:numPr>
          <w:ilvl w:val="0"/>
          <w:numId w:val="3"/>
        </w:numPr>
      </w:pPr>
      <w:r>
        <w:lastRenderedPageBreak/>
        <w:t>Fortsat øgede krav om målbarhed og rentabilitet (effektivitet over</w:t>
      </w:r>
      <w:r w:rsidR="006C581E">
        <w:t xml:space="preserve"> </w:t>
      </w:r>
      <w:r>
        <w:t>for moderinstitutionen)</w:t>
      </w:r>
      <w:r w:rsidR="00CF3D45">
        <w:t>.</w:t>
      </w:r>
      <w:r w:rsidR="001F0D2F">
        <w:t xml:space="preserve"> De traditionelle indikatorer for biblioteksvirk</w:t>
      </w:r>
      <w:r w:rsidR="000D4405">
        <w:t>somhed er ikke længere brugbare</w:t>
      </w:r>
      <w:r w:rsidR="006C581E">
        <w:t>.</w:t>
      </w:r>
    </w:p>
    <w:p w:rsidR="007B0E90" w:rsidRDefault="007B0E90" w:rsidP="00C91C85">
      <w:pPr>
        <w:pStyle w:val="Listeafsnit"/>
        <w:numPr>
          <w:ilvl w:val="0"/>
          <w:numId w:val="3"/>
        </w:numPr>
      </w:pPr>
      <w:r>
        <w:t>Brugerdreve</w:t>
      </w:r>
      <w:r w:rsidR="00347598">
        <w:t xml:space="preserve">t anskaffelse bliver normen. </w:t>
      </w:r>
      <w:r w:rsidR="003411BC">
        <w:t>S</w:t>
      </w:r>
      <w:r w:rsidR="00347598">
        <w:t xml:space="preserve">amlingsbaserede services tilhører fortiden, mens ekspertisebaserede services er </w:t>
      </w:r>
      <w:r w:rsidR="003411BC">
        <w:t>vejen frem</w:t>
      </w:r>
      <w:r w:rsidR="006C581E">
        <w:t>.</w:t>
      </w:r>
    </w:p>
    <w:p w:rsidR="006B22E1" w:rsidRDefault="006B22E1" w:rsidP="006B22E1">
      <w:pPr>
        <w:pStyle w:val="Listeafsnit"/>
        <w:numPr>
          <w:ilvl w:val="0"/>
          <w:numId w:val="3"/>
        </w:numPr>
      </w:pPr>
      <w:r>
        <w:t>Definitionen af ”biblioteket” forandre</w:t>
      </w:r>
      <w:r w:rsidR="003411BC">
        <w:t>s</w:t>
      </w:r>
      <w:r>
        <w:t xml:space="preserve"> i </w:t>
      </w:r>
      <w:r w:rsidR="006C581E">
        <w:t>takt</w:t>
      </w:r>
      <w:r>
        <w:t xml:space="preserve"> med</w:t>
      </w:r>
      <w:r w:rsidR="006C581E">
        <w:t>, at</w:t>
      </w:r>
      <w:r w:rsidR="003411BC">
        <w:t xml:space="preserve"> brugen af </w:t>
      </w:r>
      <w:r>
        <w:t xml:space="preserve">bibliotekslokalet </w:t>
      </w:r>
      <w:r w:rsidR="006C581E">
        <w:t xml:space="preserve">overgår </w:t>
      </w:r>
      <w:r>
        <w:t>til anden virksomhed</w:t>
      </w:r>
      <w:r w:rsidR="006C581E">
        <w:t>.</w:t>
      </w:r>
      <w:r>
        <w:t xml:space="preserve"> ”</w:t>
      </w:r>
      <w:r w:rsidR="006C581E">
        <w:t>S</w:t>
      </w:r>
      <w:r>
        <w:t>kyen” bliver hjemsted for det digitale bibliotek</w:t>
      </w:r>
      <w:r w:rsidR="00347598">
        <w:t xml:space="preserve"> (</w:t>
      </w:r>
      <w:r w:rsidR="006C581E">
        <w:t>og</w:t>
      </w:r>
      <w:r w:rsidR="00347598">
        <w:t xml:space="preserve"> alt</w:t>
      </w:r>
      <w:r w:rsidR="00CF3D45">
        <w:t xml:space="preserve">, hvad du behøver, </w:t>
      </w:r>
      <w:r w:rsidR="00347598">
        <w:t>er en webbrowser)</w:t>
      </w:r>
      <w:r w:rsidR="006C581E">
        <w:t>.</w:t>
      </w:r>
    </w:p>
    <w:p w:rsidR="006B22E1" w:rsidRDefault="006B22E1" w:rsidP="006B22E1">
      <w:pPr>
        <w:pStyle w:val="Listeafsnit"/>
        <w:numPr>
          <w:ilvl w:val="0"/>
          <w:numId w:val="3"/>
        </w:numPr>
      </w:pPr>
      <w:r>
        <w:t xml:space="preserve">Fortsat eksplosiv udvikling i mobile apparater og </w:t>
      </w:r>
      <w:r w:rsidR="006C581E">
        <w:t>-</w:t>
      </w:r>
      <w:r>
        <w:t>tjenester</w:t>
      </w:r>
      <w:r w:rsidR="00347598">
        <w:t xml:space="preserve">. Den differentierede og mobile brugerbetjening </w:t>
      </w:r>
      <w:r w:rsidR="003411BC">
        <w:t xml:space="preserve">er </w:t>
      </w:r>
      <w:r w:rsidR="00347598">
        <w:t>et krav</w:t>
      </w:r>
      <w:r w:rsidR="006C581E">
        <w:t>.</w:t>
      </w:r>
    </w:p>
    <w:p w:rsidR="001651AA" w:rsidRDefault="006B22E1" w:rsidP="006B22E1">
      <w:pPr>
        <w:pStyle w:val="Listeafsnit"/>
        <w:numPr>
          <w:ilvl w:val="0"/>
          <w:numId w:val="3"/>
        </w:numPr>
      </w:pPr>
      <w:r>
        <w:t xml:space="preserve">Ændringer i videregående uddannelser </w:t>
      </w:r>
      <w:r w:rsidR="00347598">
        <w:t>stiller større krav til færdigheder/kompetencer</w:t>
      </w:r>
      <w:r w:rsidR="006C581E">
        <w:t>,</w:t>
      </w:r>
      <w:r w:rsidR="00347598">
        <w:t xml:space="preserve"> og der ske</w:t>
      </w:r>
      <w:r w:rsidR="003411BC">
        <w:t>r</w:t>
      </w:r>
      <w:r w:rsidR="00347598">
        <w:t xml:space="preserve"> markante ændringer i biblioteke</w:t>
      </w:r>
      <w:r w:rsidR="003411BC">
        <w:t>ts</w:t>
      </w:r>
      <w:r w:rsidR="00347598">
        <w:t xml:space="preserve"> personalesammensætning</w:t>
      </w:r>
      <w:r w:rsidR="006C581E">
        <w:t>.</w:t>
      </w:r>
    </w:p>
    <w:p w:rsidR="00347598" w:rsidRDefault="00347598" w:rsidP="006B22E1">
      <w:pPr>
        <w:pStyle w:val="Listeafsnit"/>
        <w:numPr>
          <w:ilvl w:val="0"/>
          <w:numId w:val="3"/>
        </w:numPr>
      </w:pPr>
      <w:r>
        <w:t>Biblioteket styrke</w:t>
      </w:r>
      <w:r w:rsidR="00340328">
        <w:t>r stadig</w:t>
      </w:r>
      <w:r>
        <w:t xml:space="preserve"> videnskabelig kommunikation og services i forhold til intellektuel ophavsret. Der vil fortsat skulle findes løsninger på ophavsret og forretningsmodeller for nye publiceringsformer</w:t>
      </w:r>
      <w:r w:rsidR="006C581E">
        <w:t>.</w:t>
      </w:r>
    </w:p>
    <w:p w:rsidR="00347598" w:rsidRDefault="00347598" w:rsidP="00347598">
      <w:pPr>
        <w:pStyle w:val="Listeafsnit"/>
        <w:numPr>
          <w:ilvl w:val="0"/>
          <w:numId w:val="3"/>
        </w:numPr>
      </w:pPr>
      <w:r>
        <w:t xml:space="preserve">Data management, -sikring og </w:t>
      </w:r>
      <w:r w:rsidR="00CF3D45">
        <w:t>-</w:t>
      </w:r>
      <w:r>
        <w:t>bevaring udgør</w:t>
      </w:r>
      <w:r w:rsidR="00340328">
        <w:t xml:space="preserve"> </w:t>
      </w:r>
      <w:r>
        <w:t>væsentlige dele af bibliotekets virksomhed</w:t>
      </w:r>
      <w:r w:rsidR="006C581E">
        <w:t>.</w:t>
      </w:r>
    </w:p>
    <w:p w:rsidR="001F0D2F" w:rsidRDefault="001F0D2F" w:rsidP="001F0D2F">
      <w:r>
        <w:t xml:space="preserve">Det strategiske arbejde med disse udfordringer kan gribes an på </w:t>
      </w:r>
      <w:r w:rsidR="00340328">
        <w:t>flere</w:t>
      </w:r>
      <w:r>
        <w:t xml:space="preserve"> måder. Hvilke fremtidige hovedopgaver har forskningsbiblioteke</w:t>
      </w:r>
      <w:r w:rsidR="00340328">
        <w:t>t</w:t>
      </w:r>
      <w:r w:rsidR="006C581E">
        <w:t xml:space="preserve"> –</w:t>
      </w:r>
      <w:r>
        <w:t xml:space="preserve"> eller rettere</w:t>
      </w:r>
      <w:r w:rsidR="006C581E">
        <w:t>,</w:t>
      </w:r>
      <w:r>
        <w:t xml:space="preserve"> hvilke fremtidige hovedopgaver ønsker vi, at forskningsbiblioteke</w:t>
      </w:r>
      <w:r w:rsidR="00340328">
        <w:t>t</w:t>
      </w:r>
      <w:r>
        <w:t xml:space="preserve"> skal have – hvis vi </w:t>
      </w:r>
      <w:r w:rsidR="0083111E">
        <w:t xml:space="preserve">vel at mærke </w:t>
      </w:r>
      <w:r>
        <w:t>ser eller vil skabe en fremtid for forskningsbiblioteke</w:t>
      </w:r>
      <w:r w:rsidR="00340328">
        <w:t>t</w:t>
      </w:r>
      <w:r>
        <w:t>?</w:t>
      </w:r>
    </w:p>
    <w:p w:rsidR="0083111E" w:rsidRDefault="0083111E">
      <w:r>
        <w:rPr>
          <w:b/>
        </w:rPr>
        <w:t>Scenarier for det fremtidige bibliotek</w:t>
      </w:r>
      <w:r>
        <w:br/>
      </w:r>
      <w:r w:rsidR="00BD307D">
        <w:t xml:space="preserve">Et meget benyttet værktøj til at arbejde med denne type problemstillinger er den såkaldte scenariemetode. </w:t>
      </w:r>
      <w:r w:rsidR="001651AA">
        <w:t xml:space="preserve">Ifølge Center for Ledelse benyttes scenariemetoden som en veldokumenteret proces, der hjælper med at stille skarpt på de strategiske usikkerheder, som </w:t>
      </w:r>
      <w:r w:rsidR="003411BC">
        <w:t xml:space="preserve">man </w:t>
      </w:r>
      <w:r w:rsidR="001651AA">
        <w:t xml:space="preserve">i </w:t>
      </w:r>
      <w:r>
        <w:t xml:space="preserve">et </w:t>
      </w:r>
      <w:r w:rsidR="001651AA">
        <w:t xml:space="preserve">langsigtet perspektiv kan stå overfor – usikkerheder, der rummer både muligheder og begrænsninger. </w:t>
      </w:r>
    </w:p>
    <w:p w:rsidR="001651AA" w:rsidRDefault="001651AA">
      <w:r>
        <w:t>Scenarier er således troværdige og udfordrende historier</w:t>
      </w:r>
      <w:r w:rsidR="0083111E">
        <w:t xml:space="preserve"> om,</w:t>
      </w:r>
      <w:r>
        <w:t xml:space="preserve"> hvordan markedet og omgivelserne </w:t>
      </w:r>
      <w:r w:rsidR="003411BC">
        <w:t xml:space="preserve">kan </w:t>
      </w:r>
      <w:r>
        <w:t>udvikle sig i fremtiden</w:t>
      </w:r>
      <w:r w:rsidR="0083111E">
        <w:t>. De</w:t>
      </w:r>
      <w:r w:rsidR="006A77C9">
        <w:t xml:space="preserve"> er bygget op om</w:t>
      </w:r>
      <w:r w:rsidR="0083111E">
        <w:t>kring</w:t>
      </w:r>
      <w:r w:rsidR="006A77C9">
        <w:t xml:space="preserve"> kritiske usikkerheder, der vurderes som mulige drivende kræfter for markedsudviklingen. Scenariemetoden aftvinger nye perspektiver og sikrer, at </w:t>
      </w:r>
      <w:r w:rsidR="003411BC">
        <w:t xml:space="preserve">man </w:t>
      </w:r>
      <w:r w:rsidR="006A77C9">
        <w:t>ikke blot fremskriver sin udvikling på fortidens præmisser.</w:t>
      </w:r>
      <w:r w:rsidR="00340328">
        <w:t xml:space="preserve"> Brug</w:t>
      </w:r>
      <w:r w:rsidR="006A77C9">
        <w:t xml:space="preserve"> af scenariemetoden </w:t>
      </w:r>
      <w:r w:rsidR="00340328">
        <w:t xml:space="preserve">handler </w:t>
      </w:r>
      <w:r w:rsidR="006A77C9">
        <w:t xml:space="preserve">også om at skabe strategisk handlekraft, så </w:t>
      </w:r>
      <w:r w:rsidR="003411BC">
        <w:t xml:space="preserve">der </w:t>
      </w:r>
      <w:r w:rsidR="0083111E">
        <w:t xml:space="preserve">i dag </w:t>
      </w:r>
      <w:r w:rsidR="006A77C9">
        <w:t>træffe</w:t>
      </w:r>
      <w:r w:rsidR="003411BC">
        <w:t>s</w:t>
      </w:r>
      <w:r w:rsidR="006A77C9">
        <w:t xml:space="preserve"> bevidste strategiske valg, der bringer </w:t>
      </w:r>
      <w:r w:rsidR="003411BC">
        <w:t xml:space="preserve">os </w:t>
      </w:r>
      <w:r w:rsidR="006A77C9">
        <w:t>nærmere det ønskede i morgen!</w:t>
      </w:r>
    </w:p>
    <w:p w:rsidR="00BD307D" w:rsidRDefault="00BD307D">
      <w:r>
        <w:t xml:space="preserve">Arbejdsgruppen har i sin rapport opstillet </w:t>
      </w:r>
      <w:r w:rsidR="0083111E">
        <w:t>ni</w:t>
      </w:r>
      <w:r>
        <w:t xml:space="preserve"> korte scenarier, som </w:t>
      </w:r>
      <w:r w:rsidR="009B4780">
        <w:t>inden</w:t>
      </w:r>
      <w:r w:rsidR="0083111E">
        <w:t xml:space="preserve"> </w:t>
      </w:r>
      <w:r w:rsidR="009B4780">
        <w:t xml:space="preserve">for forskellige rammer </w:t>
      </w:r>
      <w:r>
        <w:t xml:space="preserve">giver </w:t>
      </w:r>
      <w:r w:rsidR="0083111E">
        <w:t>en fremstilling</w:t>
      </w:r>
      <w:r>
        <w:t xml:space="preserve"> </w:t>
      </w:r>
      <w:r w:rsidR="0083111E">
        <w:t>af, hvordan bibliotekerne kommer til at se ud om</w:t>
      </w:r>
      <w:r>
        <w:t xml:space="preserve"> 10 år. </w:t>
      </w:r>
      <w:r w:rsidR="009B4780">
        <w:t>Overskrifterne på scenarier</w:t>
      </w:r>
      <w:r w:rsidR="00DD5DBC">
        <w:t>ne</w:t>
      </w:r>
      <w:r w:rsidR="009B4780">
        <w:t xml:space="preserve"> </w:t>
      </w:r>
      <w:r w:rsidR="0083111E">
        <w:t>er</w:t>
      </w:r>
      <w:r w:rsidR="009B4780">
        <w:t xml:space="preserve"> bl</w:t>
      </w:r>
      <w:r w:rsidR="0083111E">
        <w:t>andt andet</w:t>
      </w:r>
      <w:r w:rsidR="009B4780">
        <w:t xml:space="preserve"> ”Institutioner fusionerer”, ”Kommercialisering”, ”Biblioteket – fra rum til service”</w:t>
      </w:r>
      <w:r w:rsidR="00754770">
        <w:t xml:space="preserve">, ”Det tomme bibliotek” </w:t>
      </w:r>
      <w:r w:rsidR="0083111E">
        <w:t>og</w:t>
      </w:r>
      <w:r w:rsidR="00754770">
        <w:t xml:space="preserve"> ”Uddannelse for alle – forskning for alle”. </w:t>
      </w:r>
      <w:r>
        <w:t xml:space="preserve">Scenarierne </w:t>
      </w:r>
      <w:r w:rsidR="003411BC">
        <w:t xml:space="preserve">er </w:t>
      </w:r>
      <w:r>
        <w:t xml:space="preserve">tænkt som </w:t>
      </w:r>
      <w:r w:rsidR="00754770">
        <w:t xml:space="preserve">grundlag for og </w:t>
      </w:r>
      <w:r>
        <w:t xml:space="preserve">inspiration til det videre </w:t>
      </w:r>
      <w:r w:rsidR="00754770">
        <w:t>strategi</w:t>
      </w:r>
      <w:r>
        <w:t>arbejde og k</w:t>
      </w:r>
      <w:r w:rsidR="00DD5DBC">
        <w:t>an</w:t>
      </w:r>
      <w:r>
        <w:t xml:space="preserve"> naturligvis udbygges yderligere.</w:t>
      </w:r>
      <w:r w:rsidR="00754770">
        <w:t xml:space="preserve"> Det står enhver frit at lade fantasien råde efterfølgende.</w:t>
      </w:r>
    </w:p>
    <w:p w:rsidR="00754770" w:rsidRDefault="00754770">
      <w:r>
        <w:t xml:space="preserve">Jeg skal i det følgende give et samlet </w:t>
      </w:r>
      <w:r w:rsidR="00DD5DBC">
        <w:t xml:space="preserve">pluk fra </w:t>
      </w:r>
      <w:r>
        <w:t>scenarierne og dermed forsøge mig med ét bud på fremtidens forskningsbibliotek</w:t>
      </w:r>
      <w:r w:rsidR="00BF027E">
        <w:t>svæsen, som det kunne se ud i 2022</w:t>
      </w:r>
      <w:r>
        <w:t>:</w:t>
      </w:r>
    </w:p>
    <w:p w:rsidR="00754770" w:rsidRDefault="00BF027E" w:rsidP="00BF027E">
      <w:pPr>
        <w:pStyle w:val="Listeafsnit"/>
        <w:numPr>
          <w:ilvl w:val="0"/>
          <w:numId w:val="4"/>
        </w:numPr>
      </w:pPr>
      <w:r>
        <w:lastRenderedPageBreak/>
        <w:t>Der vil være ganske få FFU-biblioteker tilbage i Danmark</w:t>
      </w:r>
      <w:r w:rsidR="00E25E00">
        <w:t>,</w:t>
      </w:r>
      <w:r>
        <w:t xml:space="preserve"> og der vil være tale om central styring og decentral betjening</w:t>
      </w:r>
      <w:r w:rsidR="00E25E00">
        <w:t>.</w:t>
      </w:r>
    </w:p>
    <w:p w:rsidR="00BF027E" w:rsidRDefault="00BF027E" w:rsidP="00BF027E">
      <w:pPr>
        <w:pStyle w:val="Listeafsnit"/>
        <w:numPr>
          <w:ilvl w:val="0"/>
          <w:numId w:val="4"/>
        </w:numPr>
      </w:pPr>
      <w:r>
        <w:t xml:space="preserve">Bibliotekssystemet findes ligesom de </w:t>
      </w:r>
      <w:r w:rsidR="00E25E00">
        <w:t xml:space="preserve">fleste administrative systemer </w:t>
      </w:r>
      <w:r>
        <w:t xml:space="preserve">i </w:t>
      </w:r>
      <w:r w:rsidR="00E25E00">
        <w:t xml:space="preserve">”skyen”. Det er kun </w:t>
      </w:r>
      <w:r>
        <w:t>grænseflade</w:t>
      </w:r>
      <w:r w:rsidR="000E7696">
        <w:t>tjenester</w:t>
      </w:r>
      <w:r>
        <w:t>, der udvikles lokalt og konkurreres</w:t>
      </w:r>
      <w:r w:rsidR="00E25E00">
        <w:t>.</w:t>
      </w:r>
    </w:p>
    <w:p w:rsidR="000E7696" w:rsidRDefault="000D4405" w:rsidP="00BF027E">
      <w:pPr>
        <w:pStyle w:val="Listeafsnit"/>
        <w:numPr>
          <w:ilvl w:val="0"/>
          <w:numId w:val="4"/>
        </w:numPr>
      </w:pPr>
      <w:r>
        <w:t>DDB (</w:t>
      </w:r>
      <w:r w:rsidR="000E7696">
        <w:t>Danskernes Digitale Bibliotek</w:t>
      </w:r>
      <w:r>
        <w:t>)</w:t>
      </w:r>
      <w:r w:rsidR="000E7696">
        <w:t xml:space="preserve"> og DEFF (Danmarks Elektroniske Fag- og Forskningsbibliotek) er slået sammen til ét system under navnet Danmarks Digitale Bibliotek. Folkebibliotekerne er ansvarlige for al fysisk materiale i Danmark, mens forskningsbibliotekerne er ansv</w:t>
      </w:r>
      <w:r>
        <w:t>arlig for al digitalt materiale</w:t>
      </w:r>
      <w:r w:rsidR="00E25E00">
        <w:t>.</w:t>
      </w:r>
    </w:p>
    <w:p w:rsidR="000E7696" w:rsidRDefault="000E7696" w:rsidP="00BF027E">
      <w:pPr>
        <w:pStyle w:val="Listeafsnit"/>
        <w:numPr>
          <w:ilvl w:val="0"/>
          <w:numId w:val="4"/>
        </w:numPr>
      </w:pPr>
      <w:r>
        <w:t>Al betjening af forskning og undervisning foregår ude i forskning- og undervisningsmiljøerne. Der er ikke længere central betjening på bibliotek</w:t>
      </w:r>
      <w:r w:rsidR="00E25E00">
        <w:t>et</w:t>
      </w:r>
      <w:r>
        <w:t>s location.</w:t>
      </w:r>
      <w:r w:rsidR="003639FB">
        <w:t xml:space="preserve"> Bibliotekets opgaver ligger nu som generelle campustjenest</w:t>
      </w:r>
      <w:r w:rsidR="00E25E00">
        <w:t>er og pædagogiske ramme</w:t>
      </w:r>
      <w:r w:rsidR="000D4405">
        <w:t>opgaver</w:t>
      </w:r>
      <w:r w:rsidR="00E25E00">
        <w:t>.</w:t>
      </w:r>
    </w:p>
    <w:p w:rsidR="000E7696" w:rsidRDefault="000E7696" w:rsidP="00BF027E">
      <w:pPr>
        <w:pStyle w:val="Listeafsnit"/>
        <w:numPr>
          <w:ilvl w:val="0"/>
          <w:numId w:val="4"/>
        </w:numPr>
      </w:pPr>
      <w:r>
        <w:t>Biblioteket er et samlings- og værested med læring og oplevelse, men uden fysisk materiale</w:t>
      </w:r>
      <w:r w:rsidR="000D4405">
        <w:t>. B</w:t>
      </w:r>
      <w:r>
        <w:t xml:space="preserve">iblioteksrummet er et sted med undervisnings- og læringsfaciliteter, hvor fysisk materiale udelukkende anvendes som ”tapet” og </w:t>
      </w:r>
      <w:r w:rsidR="000D4405">
        <w:t>lyddæmpende foranstaltning</w:t>
      </w:r>
      <w:r w:rsidR="00E25E00">
        <w:t>.</w:t>
      </w:r>
    </w:p>
    <w:p w:rsidR="00214DAB" w:rsidRDefault="00214DAB" w:rsidP="00BF027E">
      <w:pPr>
        <w:pStyle w:val="Listeafsnit"/>
        <w:numPr>
          <w:ilvl w:val="0"/>
          <w:numId w:val="4"/>
        </w:numPr>
      </w:pPr>
      <w:r>
        <w:t xml:space="preserve">FFU-bibliotekets materiale er stort set kun tilgængeligt digitalt (fysisk materiale kan leveres, men bevares på </w:t>
      </w:r>
      <w:r w:rsidR="000D4405">
        <w:t>de(t) lokale folkebibliotek(er)</w:t>
      </w:r>
      <w:r w:rsidR="00E25E00">
        <w:t>.</w:t>
      </w:r>
    </w:p>
    <w:p w:rsidR="000E7696" w:rsidRDefault="000E7696" w:rsidP="00BF027E">
      <w:pPr>
        <w:pStyle w:val="Listeafsnit"/>
        <w:numPr>
          <w:ilvl w:val="0"/>
          <w:numId w:val="4"/>
        </w:numPr>
      </w:pPr>
      <w:r>
        <w:t>Den kunstige intelligens har overtaget</w:t>
      </w:r>
      <w:r w:rsidR="00E25E00">
        <w:t>,</w:t>
      </w:r>
      <w:r>
        <w:t xml:space="preserve"> og kun i helt særlige tilfælde er det nødvendigt/brugbart med bibliotekarisk hjælp ved søgning og fremfindelse af selv helt specifik</w:t>
      </w:r>
      <w:r w:rsidR="000D4405">
        <w:t>t materiale</w:t>
      </w:r>
      <w:r w:rsidR="00E25E00">
        <w:t>.</w:t>
      </w:r>
    </w:p>
    <w:p w:rsidR="000E7696" w:rsidRDefault="000E7696" w:rsidP="00BF027E">
      <w:pPr>
        <w:pStyle w:val="Listeafsnit"/>
        <w:numPr>
          <w:ilvl w:val="0"/>
          <w:numId w:val="4"/>
        </w:numPr>
      </w:pPr>
      <w:r>
        <w:t>Biblioteksansatte arbejder primært freelance</w:t>
      </w:r>
      <w:r w:rsidR="00E25E00">
        <w:t>,</w:t>
      </w:r>
      <w:r>
        <w:t xml:space="preserve"> og de arbejder gerne og ofte på fle</w:t>
      </w:r>
      <w:r w:rsidR="000D4405">
        <w:t>re institutioner/arbejdspladser</w:t>
      </w:r>
      <w:r w:rsidR="00E25E00">
        <w:t>.</w:t>
      </w:r>
    </w:p>
    <w:p w:rsidR="000E7696" w:rsidRDefault="000E7696" w:rsidP="00BF027E">
      <w:pPr>
        <w:pStyle w:val="Listeafsnit"/>
        <w:numPr>
          <w:ilvl w:val="0"/>
          <w:numId w:val="4"/>
        </w:numPr>
      </w:pPr>
      <w:r>
        <w:t xml:space="preserve">Biblioteket </w:t>
      </w:r>
      <w:r w:rsidR="00214DAB">
        <w:t>agerer som ”middleware”</w:t>
      </w:r>
      <w:r w:rsidR="000D4405">
        <w:t xml:space="preserve">, </w:t>
      </w:r>
      <w:r w:rsidR="00E25E00">
        <w:t xml:space="preserve">altså </w:t>
      </w:r>
      <w:r w:rsidR="00214DAB">
        <w:t xml:space="preserve">som </w:t>
      </w:r>
      <w:r>
        <w:t>formidler af services fra diverse serviceudbydere</w:t>
      </w:r>
      <w:r w:rsidR="00E25E00">
        <w:t xml:space="preserve"> og ikke</w:t>
      </w:r>
      <w:r w:rsidR="00214DAB">
        <w:t xml:space="preserve"> som leverandør af materiale elle</w:t>
      </w:r>
      <w:r w:rsidR="000D4405">
        <w:t>r tjenester</w:t>
      </w:r>
      <w:r w:rsidR="00E25E00">
        <w:t>.</w:t>
      </w:r>
    </w:p>
    <w:p w:rsidR="00214DAB" w:rsidRDefault="00396455" w:rsidP="00BF027E">
      <w:pPr>
        <w:pStyle w:val="Listeafsnit"/>
        <w:numPr>
          <w:ilvl w:val="0"/>
          <w:numId w:val="4"/>
        </w:numPr>
      </w:pPr>
      <w:r>
        <w:t>Forskningsdata, ophavsret og internetsikkerhed er blevet k</w:t>
      </w:r>
      <w:r w:rsidR="00E25E00">
        <w:t>e</w:t>
      </w:r>
      <w:r>
        <w:t>rneområder for FFU-biblioteket</w:t>
      </w:r>
      <w:r w:rsidR="00E25E00">
        <w:t>,</w:t>
      </w:r>
      <w:r>
        <w:t xml:space="preserve"> og mobilitet og brugerinddragelse er ikke til diskussion. Størstedelen af læring og forskning foregå</w:t>
      </w:r>
      <w:r w:rsidR="000D4405">
        <w:t>r</w:t>
      </w:r>
      <w:r>
        <w:t xml:space="preserve"> på mobile platforme</w:t>
      </w:r>
      <w:r w:rsidR="00E25E00">
        <w:t>,</w:t>
      </w:r>
      <w:r>
        <w:t xml:space="preserve"> og fjern/distance</w:t>
      </w:r>
      <w:r w:rsidR="00E25E00">
        <w:t>-</w:t>
      </w:r>
      <w:r>
        <w:t xml:space="preserve">læring </w:t>
      </w:r>
      <w:r w:rsidR="000D4405">
        <w:t>er den primære fremgangsmåde</w:t>
      </w:r>
      <w:r w:rsidR="00E25E00">
        <w:t>.</w:t>
      </w:r>
    </w:p>
    <w:p w:rsidR="00396455" w:rsidRDefault="00396455" w:rsidP="00BF027E">
      <w:pPr>
        <w:pStyle w:val="Listeafsnit"/>
        <w:numPr>
          <w:ilvl w:val="0"/>
          <w:numId w:val="4"/>
        </w:numPr>
      </w:pPr>
      <w:r>
        <w:t xml:space="preserve">Der er konstant fokus på værdi og omkostninger. </w:t>
      </w:r>
      <w:r w:rsidR="003639FB">
        <w:t>Tjenester, produkter</w:t>
      </w:r>
      <w:r w:rsidR="00E25E00">
        <w:t xml:space="preserve"> og</w:t>
      </w:r>
      <w:r w:rsidR="003639FB">
        <w:t xml:space="preserve"> medarbejdere, s</w:t>
      </w:r>
      <w:r w:rsidR="00E25E00">
        <w:t>om ikke er ”rentable”, af</w:t>
      </w:r>
      <w:r w:rsidR="000D4405">
        <w:t>hændes</w:t>
      </w:r>
      <w:r w:rsidR="00E25E00">
        <w:t>.</w:t>
      </w:r>
    </w:p>
    <w:p w:rsidR="00B172BD" w:rsidRDefault="00396455" w:rsidP="00B172BD">
      <w:pPr>
        <w:pStyle w:val="Listeafsnit"/>
        <w:numPr>
          <w:ilvl w:val="0"/>
          <w:numId w:val="4"/>
        </w:numPr>
      </w:pPr>
      <w:r>
        <w:t>Open</w:t>
      </w:r>
      <w:r w:rsidR="00E25E00">
        <w:t xml:space="preserve"> Access problematiseres stadig.</w:t>
      </w:r>
    </w:p>
    <w:p w:rsidR="00E25E00" w:rsidRDefault="00E25E00" w:rsidP="0031187E">
      <w:r>
        <w:t xml:space="preserve">Den fremstillede rapport blev præsenteret og diskuteret på foreningens årsmøde i september 2012. Man kan finde den i foreningens rapportarkiv på </w:t>
      </w:r>
      <w:hyperlink r:id="rId10" w:history="1">
        <w:r w:rsidRPr="001D4451">
          <w:rPr>
            <w:rStyle w:val="Hyperlink"/>
          </w:rPr>
          <w:t>http://dfdf.dk/</w:t>
        </w:r>
      </w:hyperlink>
      <w:r>
        <w:t>.</w:t>
      </w:r>
    </w:p>
    <w:p w:rsidR="0031187E" w:rsidRDefault="0031187E" w:rsidP="0031187E">
      <w:r>
        <w:t xml:space="preserve">Arbejdsgruppen bestod af Kirsten Bisgaard, Tove Faber Frandsen, Kirsten Krogh Kruuse, Lilian Madsen, Maj Rosenstand, Christian Laursen, Peter Flodin og undertegnede. </w:t>
      </w:r>
    </w:p>
    <w:p w:rsidR="0031187E" w:rsidRDefault="0031187E"/>
    <w:p w:rsidR="00754770" w:rsidRDefault="00754770"/>
    <w:p w:rsidR="00754770" w:rsidRDefault="00754770"/>
    <w:p w:rsidR="001651AA" w:rsidRDefault="001651AA"/>
    <w:p w:rsidR="0050276A" w:rsidRPr="0050276A" w:rsidRDefault="0050276A" w:rsidP="0050276A">
      <w:pPr>
        <w:shd w:val="clear" w:color="auto" w:fill="FFFFFF"/>
        <w:spacing w:after="225" w:line="384" w:lineRule="atLeast"/>
        <w:rPr>
          <w:rFonts w:ascii="Verdana" w:eastAsia="Times New Roman" w:hAnsi="Verdana" w:cs="Times New Roman"/>
          <w:color w:val="272727"/>
          <w:sz w:val="17"/>
          <w:szCs w:val="17"/>
        </w:rPr>
      </w:pPr>
      <w:r w:rsidRPr="0050276A">
        <w:rPr>
          <w:rFonts w:ascii="Verdana" w:eastAsia="Times New Roman" w:hAnsi="Verdana" w:cs="Times New Roman"/>
          <w:color w:val="272727"/>
          <w:sz w:val="17"/>
          <w:szCs w:val="17"/>
        </w:rPr>
        <w:t xml:space="preserve"> </w:t>
      </w:r>
    </w:p>
    <w:p w:rsidR="0050276A" w:rsidRPr="0050276A" w:rsidRDefault="0050276A" w:rsidP="0050276A">
      <w:pPr>
        <w:shd w:val="clear" w:color="auto" w:fill="FFFFFF"/>
        <w:spacing w:after="225" w:line="384" w:lineRule="atLeast"/>
        <w:rPr>
          <w:rFonts w:ascii="Verdana" w:eastAsia="Times New Roman" w:hAnsi="Verdana" w:cs="Times New Roman"/>
          <w:color w:val="272727"/>
          <w:sz w:val="17"/>
          <w:szCs w:val="17"/>
        </w:rPr>
      </w:pPr>
    </w:p>
    <w:p w:rsidR="0050276A" w:rsidRDefault="0050276A"/>
    <w:sectPr w:rsidR="0050276A" w:rsidSect="008768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E" w:rsidRDefault="00B656CE" w:rsidP="006A77C9">
      <w:pPr>
        <w:spacing w:after="0" w:line="240" w:lineRule="auto"/>
      </w:pPr>
      <w:r>
        <w:separator/>
      </w:r>
    </w:p>
  </w:endnote>
  <w:endnote w:type="continuationSeparator" w:id="0">
    <w:p w:rsidR="00B656CE" w:rsidRDefault="00B656CE" w:rsidP="006A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E" w:rsidRDefault="00B656CE" w:rsidP="006A77C9">
      <w:pPr>
        <w:spacing w:after="0" w:line="240" w:lineRule="auto"/>
      </w:pPr>
      <w:r>
        <w:separator/>
      </w:r>
    </w:p>
  </w:footnote>
  <w:footnote w:type="continuationSeparator" w:id="0">
    <w:p w:rsidR="00B656CE" w:rsidRDefault="00B656CE" w:rsidP="006A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5B1"/>
    <w:multiLevelType w:val="multilevel"/>
    <w:tmpl w:val="EB6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7834"/>
    <w:multiLevelType w:val="multilevel"/>
    <w:tmpl w:val="F47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37547"/>
    <w:multiLevelType w:val="hybridMultilevel"/>
    <w:tmpl w:val="1B8E8A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B6A"/>
    <w:multiLevelType w:val="hybridMultilevel"/>
    <w:tmpl w:val="410250C8"/>
    <w:lvl w:ilvl="0" w:tplc="D3F60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A"/>
    <w:rsid w:val="00094D60"/>
    <w:rsid w:val="000D4405"/>
    <w:rsid w:val="000E7696"/>
    <w:rsid w:val="00132815"/>
    <w:rsid w:val="00152E2D"/>
    <w:rsid w:val="001651AA"/>
    <w:rsid w:val="001B58BC"/>
    <w:rsid w:val="001C5451"/>
    <w:rsid w:val="001F0D2F"/>
    <w:rsid w:val="001F5D16"/>
    <w:rsid w:val="00214DAB"/>
    <w:rsid w:val="002C7E89"/>
    <w:rsid w:val="002D15A8"/>
    <w:rsid w:val="0031187E"/>
    <w:rsid w:val="00340328"/>
    <w:rsid w:val="003411BC"/>
    <w:rsid w:val="00347598"/>
    <w:rsid w:val="003639FB"/>
    <w:rsid w:val="00396455"/>
    <w:rsid w:val="003B1C81"/>
    <w:rsid w:val="003F6FAE"/>
    <w:rsid w:val="00452032"/>
    <w:rsid w:val="004C6193"/>
    <w:rsid w:val="0050276A"/>
    <w:rsid w:val="0058497C"/>
    <w:rsid w:val="00585AE2"/>
    <w:rsid w:val="005B3981"/>
    <w:rsid w:val="005B428C"/>
    <w:rsid w:val="006A77C9"/>
    <w:rsid w:val="006B22E1"/>
    <w:rsid w:val="006C581E"/>
    <w:rsid w:val="006C670F"/>
    <w:rsid w:val="006D2B8F"/>
    <w:rsid w:val="007106C0"/>
    <w:rsid w:val="007151FB"/>
    <w:rsid w:val="0071672A"/>
    <w:rsid w:val="007206F0"/>
    <w:rsid w:val="00730FD9"/>
    <w:rsid w:val="00754770"/>
    <w:rsid w:val="007B0E90"/>
    <w:rsid w:val="008036D7"/>
    <w:rsid w:val="0083111E"/>
    <w:rsid w:val="008406C2"/>
    <w:rsid w:val="0084275B"/>
    <w:rsid w:val="008508B7"/>
    <w:rsid w:val="00857CBD"/>
    <w:rsid w:val="008768AF"/>
    <w:rsid w:val="008A1D8A"/>
    <w:rsid w:val="00905884"/>
    <w:rsid w:val="0094662E"/>
    <w:rsid w:val="00976084"/>
    <w:rsid w:val="009B1360"/>
    <w:rsid w:val="009B4780"/>
    <w:rsid w:val="00A31B56"/>
    <w:rsid w:val="00A87206"/>
    <w:rsid w:val="00A90F78"/>
    <w:rsid w:val="00A927C1"/>
    <w:rsid w:val="00A92879"/>
    <w:rsid w:val="00AE1F72"/>
    <w:rsid w:val="00B0720B"/>
    <w:rsid w:val="00B172BD"/>
    <w:rsid w:val="00B322E1"/>
    <w:rsid w:val="00B656CE"/>
    <w:rsid w:val="00BD307D"/>
    <w:rsid w:val="00BF027E"/>
    <w:rsid w:val="00C7076A"/>
    <w:rsid w:val="00C91C85"/>
    <w:rsid w:val="00CF3D45"/>
    <w:rsid w:val="00D910FF"/>
    <w:rsid w:val="00DD5742"/>
    <w:rsid w:val="00DD5DBC"/>
    <w:rsid w:val="00E25E00"/>
    <w:rsid w:val="00E55739"/>
    <w:rsid w:val="00EA127C"/>
    <w:rsid w:val="00EB4BB3"/>
    <w:rsid w:val="00EF7ED7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5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6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F7ED7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77C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77C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77C9"/>
    <w:rPr>
      <w:vertAlign w:val="superscript"/>
    </w:rPr>
  </w:style>
  <w:style w:type="paragraph" w:styleId="Listeafsnit">
    <w:name w:val="List Paragraph"/>
    <w:basedOn w:val="Normal"/>
    <w:uiPriority w:val="34"/>
    <w:qFormat/>
    <w:rsid w:val="00C91C8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3111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5E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5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6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F7ED7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77C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77C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77C9"/>
    <w:rPr>
      <w:vertAlign w:val="superscript"/>
    </w:rPr>
  </w:style>
  <w:style w:type="paragraph" w:styleId="Listeafsnit">
    <w:name w:val="List Paragraph"/>
    <w:basedOn w:val="Normal"/>
    <w:uiPriority w:val="34"/>
    <w:qFormat/>
    <w:rsid w:val="00C91C8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3111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5E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526">
                  <w:marLeft w:val="0"/>
                  <w:marRight w:val="420"/>
                  <w:marTop w:val="0"/>
                  <w:marBottom w:val="15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fdf.d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ga-forum.org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AC93-E83C-4A6C-9346-6F73221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Roskilde Universitetsbibliotek</dc:creator>
  <cp:lastModifiedBy>Claus Vesterager Petersen</cp:lastModifiedBy>
  <cp:revision>2</cp:revision>
  <cp:lastPrinted>2012-10-10T13:42:00Z</cp:lastPrinted>
  <dcterms:created xsi:type="dcterms:W3CDTF">2012-11-02T07:25:00Z</dcterms:created>
  <dcterms:modified xsi:type="dcterms:W3CDTF">2012-11-02T07:25:00Z</dcterms:modified>
</cp:coreProperties>
</file>