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201" w:rsidRDefault="00F63201" w:rsidP="00F63201">
      <w:pPr>
        <w:pStyle w:val="ListParagraph"/>
        <w:spacing w:after="0" w:line="240" w:lineRule="auto"/>
        <w:jc w:val="center"/>
        <w:rPr>
          <w:rFonts w:ascii="Times New Roman" w:hAnsi="Times New Roman"/>
          <w:b/>
          <w:sz w:val="28"/>
          <w:szCs w:val="28"/>
          <w:lang w:val="en-US"/>
        </w:rPr>
      </w:pPr>
      <w:r>
        <w:rPr>
          <w:rFonts w:ascii="Times New Roman" w:hAnsi="Times New Roman"/>
          <w:b/>
          <w:sz w:val="28"/>
          <w:szCs w:val="28"/>
          <w:lang w:val="en-US"/>
        </w:rPr>
        <w:t xml:space="preserve">Nationalism, </w:t>
      </w:r>
      <w:proofErr w:type="spellStart"/>
      <w:r>
        <w:rPr>
          <w:rFonts w:ascii="Times New Roman" w:hAnsi="Times New Roman"/>
          <w:b/>
          <w:sz w:val="28"/>
          <w:szCs w:val="28"/>
          <w:lang w:val="en-US"/>
        </w:rPr>
        <w:t>terrority</w:t>
      </w:r>
      <w:proofErr w:type="spellEnd"/>
      <w:r>
        <w:rPr>
          <w:rFonts w:ascii="Times New Roman" w:hAnsi="Times New Roman"/>
          <w:b/>
          <w:sz w:val="28"/>
          <w:szCs w:val="28"/>
          <w:lang w:val="en-US"/>
        </w:rPr>
        <w:t xml:space="preserve"> and extremism in the party politics: The illegalization and legalization of </w:t>
      </w:r>
      <w:r>
        <w:rPr>
          <w:rFonts w:ascii="Times New Roman" w:hAnsi="Times New Roman"/>
          <w:b/>
          <w:i/>
          <w:sz w:val="28"/>
          <w:szCs w:val="28"/>
          <w:lang w:val="en-US"/>
        </w:rPr>
        <w:t xml:space="preserve">Sinn </w:t>
      </w:r>
      <w:proofErr w:type="spellStart"/>
      <w:r>
        <w:rPr>
          <w:rFonts w:ascii="Times New Roman" w:hAnsi="Times New Roman"/>
          <w:b/>
          <w:i/>
          <w:sz w:val="28"/>
          <w:szCs w:val="28"/>
          <w:lang w:val="en-US"/>
        </w:rPr>
        <w:t>Féin</w:t>
      </w:r>
      <w:proofErr w:type="spellEnd"/>
      <w:r>
        <w:rPr>
          <w:rFonts w:ascii="Times New Roman" w:hAnsi="Times New Roman"/>
          <w:b/>
          <w:sz w:val="28"/>
          <w:szCs w:val="28"/>
          <w:lang w:val="en-US"/>
        </w:rPr>
        <w:t xml:space="preserve"> and </w:t>
      </w:r>
      <w:proofErr w:type="spellStart"/>
      <w:r>
        <w:rPr>
          <w:rFonts w:ascii="Times New Roman" w:hAnsi="Times New Roman"/>
          <w:b/>
          <w:i/>
          <w:sz w:val="28"/>
          <w:szCs w:val="28"/>
          <w:lang w:val="en-US"/>
        </w:rPr>
        <w:t>Batasuna</w:t>
      </w:r>
      <w:proofErr w:type="spellEnd"/>
    </w:p>
    <w:p w:rsidR="00F63201" w:rsidRDefault="00F63201" w:rsidP="00F63201">
      <w:pPr>
        <w:pStyle w:val="ListParagraph"/>
        <w:spacing w:after="0" w:line="240" w:lineRule="auto"/>
        <w:jc w:val="center"/>
        <w:rPr>
          <w:rFonts w:ascii="Times New Roman" w:hAnsi="Times New Roman"/>
          <w:b/>
          <w:sz w:val="24"/>
          <w:szCs w:val="24"/>
          <w:lang w:val="en-US"/>
        </w:rPr>
      </w:pPr>
    </w:p>
    <w:p w:rsidR="00F63201" w:rsidRDefault="00F63201" w:rsidP="00F63201">
      <w:pPr>
        <w:pStyle w:val="ListParagraph"/>
        <w:spacing w:after="0" w:line="240" w:lineRule="auto"/>
        <w:jc w:val="center"/>
        <w:rPr>
          <w:rFonts w:ascii="Times New Roman" w:hAnsi="Times New Roman"/>
          <w:sz w:val="28"/>
          <w:szCs w:val="28"/>
          <w:lang w:val="da-DK"/>
        </w:rPr>
      </w:pPr>
      <w:r>
        <w:rPr>
          <w:rFonts w:ascii="Times New Roman" w:hAnsi="Times New Roman"/>
          <w:sz w:val="28"/>
          <w:szCs w:val="28"/>
          <w:lang w:val="da-DK"/>
        </w:rPr>
        <w:t>Dr. Angela Bourne</w:t>
      </w:r>
    </w:p>
    <w:p w:rsidR="00F63201" w:rsidRDefault="00F63201" w:rsidP="00F63201">
      <w:pPr>
        <w:pStyle w:val="ListParagraph"/>
        <w:spacing w:after="0" w:line="240" w:lineRule="auto"/>
        <w:jc w:val="center"/>
        <w:rPr>
          <w:rFonts w:ascii="Times New Roman" w:hAnsi="Times New Roman"/>
          <w:sz w:val="24"/>
          <w:szCs w:val="24"/>
          <w:lang w:val="da-DK"/>
        </w:rPr>
      </w:pPr>
      <w:r>
        <w:rPr>
          <w:rFonts w:ascii="Times New Roman" w:hAnsi="Times New Roman"/>
          <w:sz w:val="24"/>
          <w:szCs w:val="24"/>
          <w:lang w:val="da-DK"/>
        </w:rPr>
        <w:t xml:space="preserve">Roskilde </w:t>
      </w:r>
      <w:proofErr w:type="spellStart"/>
      <w:r>
        <w:rPr>
          <w:rFonts w:ascii="Times New Roman" w:hAnsi="Times New Roman"/>
          <w:sz w:val="24"/>
          <w:szCs w:val="24"/>
          <w:lang w:val="da-DK"/>
        </w:rPr>
        <w:t>University</w:t>
      </w:r>
      <w:proofErr w:type="spellEnd"/>
      <w:r>
        <w:rPr>
          <w:rFonts w:ascii="Times New Roman" w:hAnsi="Times New Roman"/>
          <w:sz w:val="24"/>
          <w:szCs w:val="24"/>
          <w:lang w:val="da-DK"/>
        </w:rPr>
        <w:t>, Denmark</w:t>
      </w:r>
    </w:p>
    <w:p w:rsidR="00F63201" w:rsidRDefault="00F63201" w:rsidP="00F63201">
      <w:pPr>
        <w:pStyle w:val="ListParagraph"/>
        <w:spacing w:after="0" w:line="240" w:lineRule="auto"/>
        <w:jc w:val="center"/>
        <w:rPr>
          <w:rFonts w:ascii="Times New Roman" w:hAnsi="Times New Roman"/>
          <w:sz w:val="24"/>
          <w:szCs w:val="24"/>
        </w:rPr>
      </w:pPr>
      <w:proofErr w:type="gramStart"/>
      <w:r>
        <w:rPr>
          <w:rFonts w:ascii="Times New Roman" w:hAnsi="Times New Roman"/>
          <w:sz w:val="24"/>
          <w:szCs w:val="24"/>
        </w:rPr>
        <w:t>email</w:t>
      </w:r>
      <w:proofErr w:type="gramEnd"/>
      <w:r>
        <w:rPr>
          <w:rFonts w:ascii="Times New Roman" w:hAnsi="Times New Roman"/>
          <w:sz w:val="24"/>
          <w:szCs w:val="24"/>
        </w:rPr>
        <w:t xml:space="preserve">: </w:t>
      </w:r>
      <w:hyperlink r:id="rId9" w:history="1">
        <w:r>
          <w:rPr>
            <w:rStyle w:val="Hyperlink"/>
            <w:sz w:val="24"/>
            <w:szCs w:val="24"/>
          </w:rPr>
          <w:t>bourne@ruc.dk</w:t>
        </w:r>
      </w:hyperlink>
    </w:p>
    <w:p w:rsidR="00F63201" w:rsidRDefault="00F63201" w:rsidP="00F63201">
      <w:pPr>
        <w:pStyle w:val="ListParagraph"/>
        <w:spacing w:after="0" w:line="240" w:lineRule="auto"/>
        <w:jc w:val="center"/>
        <w:rPr>
          <w:rFonts w:ascii="Times New Roman" w:hAnsi="Times New Roman"/>
          <w:sz w:val="24"/>
          <w:szCs w:val="24"/>
        </w:rPr>
      </w:pPr>
    </w:p>
    <w:p w:rsidR="00F63201" w:rsidRDefault="00F63201" w:rsidP="00F63201">
      <w:pPr>
        <w:pStyle w:val="ListParagraph"/>
        <w:spacing w:after="0" w:line="240" w:lineRule="auto"/>
        <w:jc w:val="center"/>
        <w:rPr>
          <w:rFonts w:ascii="Times New Roman" w:hAnsi="Times New Roman"/>
          <w:b/>
          <w:sz w:val="24"/>
          <w:szCs w:val="24"/>
          <w:lang w:val="en-US"/>
        </w:rPr>
      </w:pPr>
      <w:r>
        <w:rPr>
          <w:rFonts w:ascii="Times New Roman" w:hAnsi="Times New Roman"/>
          <w:b/>
          <w:sz w:val="24"/>
          <w:szCs w:val="24"/>
          <w:lang w:val="en-US"/>
        </w:rPr>
        <w:t>Paper presented at Political Studies Association Territorial Politics Group, 13-14 September 2012, Scotland House and Wales House, Brussels.</w:t>
      </w:r>
    </w:p>
    <w:p w:rsidR="0021746F" w:rsidRPr="000A0550" w:rsidRDefault="0021746F" w:rsidP="007C40CC">
      <w:pPr>
        <w:pStyle w:val="ListParagraph"/>
        <w:spacing w:after="0" w:line="240" w:lineRule="auto"/>
        <w:jc w:val="center"/>
        <w:rPr>
          <w:rFonts w:ascii="Times New Roman" w:hAnsi="Times New Roman"/>
          <w:sz w:val="24"/>
          <w:szCs w:val="24"/>
          <w:lang w:val="en-US"/>
        </w:rPr>
      </w:pPr>
    </w:p>
    <w:p w:rsidR="0021746F" w:rsidRDefault="0021746F" w:rsidP="007C40CC">
      <w:pPr>
        <w:pStyle w:val="ListParagraph"/>
        <w:spacing w:after="0" w:line="240" w:lineRule="auto"/>
        <w:jc w:val="center"/>
        <w:rPr>
          <w:rFonts w:ascii="Times New Roman" w:hAnsi="Times New Roman"/>
          <w:sz w:val="24"/>
          <w:szCs w:val="24"/>
        </w:rPr>
      </w:pPr>
    </w:p>
    <w:p w:rsidR="0021746F" w:rsidRPr="00E44F1E" w:rsidRDefault="0021746F" w:rsidP="00E44F1E">
      <w:pPr>
        <w:pStyle w:val="ListParagraph"/>
        <w:spacing w:after="0" w:line="240" w:lineRule="auto"/>
        <w:jc w:val="center"/>
        <w:rPr>
          <w:rFonts w:ascii="Times New Roman" w:hAnsi="Times New Roman"/>
          <w:sz w:val="24"/>
          <w:szCs w:val="24"/>
        </w:rPr>
      </w:pPr>
      <w:r>
        <w:rPr>
          <w:rFonts w:ascii="Times New Roman" w:hAnsi="Times New Roman"/>
          <w:sz w:val="24"/>
          <w:szCs w:val="24"/>
        </w:rPr>
        <w:t xml:space="preserve">This paper is work in progress. Please do not quote without author’s permission. </w:t>
      </w:r>
    </w:p>
    <w:p w:rsidR="00E44F1E" w:rsidRDefault="00E44F1E" w:rsidP="00E72A5F">
      <w:pPr>
        <w:pStyle w:val="ListParagraph"/>
        <w:spacing w:line="360" w:lineRule="auto"/>
        <w:ind w:left="0"/>
        <w:rPr>
          <w:rFonts w:ascii="Times New Roman" w:hAnsi="Times New Roman"/>
          <w:b/>
          <w:sz w:val="24"/>
          <w:szCs w:val="24"/>
        </w:rPr>
      </w:pPr>
    </w:p>
    <w:p w:rsidR="00E44F1E" w:rsidRDefault="00E44F1E" w:rsidP="00E72A5F">
      <w:pPr>
        <w:pStyle w:val="ListParagraph"/>
        <w:spacing w:line="360" w:lineRule="auto"/>
        <w:ind w:left="0"/>
        <w:rPr>
          <w:rFonts w:ascii="Times New Roman" w:hAnsi="Times New Roman"/>
          <w:b/>
          <w:sz w:val="24"/>
          <w:szCs w:val="24"/>
        </w:rPr>
      </w:pPr>
    </w:p>
    <w:p w:rsidR="00E44F1E" w:rsidRDefault="00E44F1E" w:rsidP="00E72A5F">
      <w:pPr>
        <w:pStyle w:val="ListParagraph"/>
        <w:spacing w:line="360" w:lineRule="auto"/>
        <w:ind w:left="0"/>
        <w:rPr>
          <w:rFonts w:ascii="Times New Roman" w:hAnsi="Times New Roman"/>
          <w:b/>
          <w:sz w:val="24"/>
          <w:szCs w:val="24"/>
        </w:rPr>
      </w:pPr>
      <w:r>
        <w:rPr>
          <w:rFonts w:ascii="Times New Roman" w:hAnsi="Times New Roman"/>
          <w:b/>
          <w:sz w:val="24"/>
          <w:szCs w:val="24"/>
        </w:rPr>
        <w:t>Abstract</w:t>
      </w:r>
    </w:p>
    <w:p w:rsidR="00E44F1E" w:rsidRDefault="00E44F1E" w:rsidP="00E72A5F">
      <w:pPr>
        <w:pStyle w:val="ListParagraph"/>
        <w:spacing w:line="360" w:lineRule="auto"/>
        <w:ind w:left="0"/>
        <w:rPr>
          <w:rFonts w:ascii="Times New Roman" w:hAnsi="Times New Roman"/>
          <w:b/>
          <w:sz w:val="24"/>
          <w:szCs w:val="24"/>
        </w:rPr>
      </w:pPr>
      <w:r>
        <w:rPr>
          <w:rFonts w:ascii="Times New Roman" w:hAnsi="Times New Roman"/>
          <w:sz w:val="24"/>
          <w:szCs w:val="24"/>
          <w:lang w:val="en-US"/>
        </w:rPr>
        <w:t>In the paper I address the empirical puzzle arising from different responses by political authorities in Spain and the UK to the existence of political parties integrated in the terrorist groups</w:t>
      </w:r>
      <w:r w:rsidRPr="00E44F1E">
        <w:rPr>
          <w:rFonts w:ascii="Times New Roman" w:hAnsi="Times New Roman"/>
          <w:i/>
          <w:sz w:val="24"/>
          <w:szCs w:val="24"/>
          <w:lang w:val="en-US"/>
        </w:rPr>
        <w:t xml:space="preserve"> </w:t>
      </w:r>
      <w:proofErr w:type="spellStart"/>
      <w:r w:rsidRPr="00B0617D">
        <w:rPr>
          <w:rFonts w:ascii="Times New Roman" w:hAnsi="Times New Roman"/>
          <w:i/>
          <w:sz w:val="24"/>
          <w:szCs w:val="24"/>
          <w:lang w:val="en-US"/>
        </w:rPr>
        <w:t>Euskadi</w:t>
      </w:r>
      <w:proofErr w:type="spellEnd"/>
      <w:r w:rsidRPr="00B0617D">
        <w:rPr>
          <w:rFonts w:ascii="Times New Roman" w:hAnsi="Times New Roman"/>
          <w:i/>
          <w:sz w:val="24"/>
          <w:szCs w:val="24"/>
          <w:lang w:val="en-US"/>
        </w:rPr>
        <w:t xml:space="preserve"> Ta </w:t>
      </w:r>
      <w:proofErr w:type="spellStart"/>
      <w:r w:rsidRPr="00B0617D">
        <w:rPr>
          <w:rFonts w:ascii="Times New Roman" w:hAnsi="Times New Roman"/>
          <w:i/>
          <w:sz w:val="24"/>
          <w:szCs w:val="24"/>
          <w:lang w:val="en-US"/>
        </w:rPr>
        <w:t>Askatasuna</w:t>
      </w:r>
      <w:proofErr w:type="spellEnd"/>
      <w:r w:rsidRPr="00B0617D">
        <w:rPr>
          <w:rFonts w:ascii="Times New Roman" w:hAnsi="Times New Roman"/>
          <w:sz w:val="24"/>
          <w:szCs w:val="24"/>
          <w:lang w:val="en-US"/>
        </w:rPr>
        <w:t xml:space="preserve"> (ETA, Basque Homeland and Freedom)</w:t>
      </w:r>
      <w:r>
        <w:rPr>
          <w:rFonts w:ascii="Times New Roman" w:hAnsi="Times New Roman"/>
          <w:sz w:val="24"/>
          <w:szCs w:val="24"/>
          <w:lang w:val="en-US"/>
        </w:rPr>
        <w:t xml:space="preserve"> and the Irish Republican Army. More specifically I address the question of why the </w:t>
      </w:r>
      <w:r w:rsidR="00264043">
        <w:rPr>
          <w:rFonts w:ascii="Times New Roman" w:hAnsi="Times New Roman"/>
          <w:sz w:val="24"/>
          <w:szCs w:val="24"/>
          <w:lang w:val="en-US"/>
        </w:rPr>
        <w:t xml:space="preserve">radical Basque nationalist </w:t>
      </w:r>
      <w:r>
        <w:rPr>
          <w:rFonts w:ascii="Times New Roman" w:hAnsi="Times New Roman"/>
          <w:sz w:val="24"/>
          <w:szCs w:val="24"/>
          <w:lang w:val="en-US"/>
        </w:rPr>
        <w:t>political part</w:t>
      </w:r>
      <w:r w:rsidR="00264043">
        <w:rPr>
          <w:rFonts w:ascii="Times New Roman" w:hAnsi="Times New Roman"/>
          <w:sz w:val="24"/>
          <w:szCs w:val="24"/>
          <w:lang w:val="en-US"/>
        </w:rPr>
        <w:t xml:space="preserve">y </w:t>
      </w:r>
      <w:proofErr w:type="spellStart"/>
      <w:r w:rsidRPr="009A17AB">
        <w:rPr>
          <w:rFonts w:ascii="Times New Roman" w:hAnsi="Times New Roman"/>
          <w:i/>
          <w:sz w:val="24"/>
          <w:szCs w:val="24"/>
          <w:lang w:val="en-US"/>
        </w:rPr>
        <w:t>Herri</w:t>
      </w:r>
      <w:proofErr w:type="spellEnd"/>
      <w:r w:rsidRPr="009A17AB">
        <w:rPr>
          <w:rFonts w:ascii="Times New Roman" w:hAnsi="Times New Roman"/>
          <w:i/>
          <w:sz w:val="24"/>
          <w:szCs w:val="24"/>
          <w:lang w:val="en-US"/>
        </w:rPr>
        <w:t xml:space="preserve"> </w:t>
      </w:r>
      <w:proofErr w:type="spellStart"/>
      <w:r w:rsidRPr="009A17AB">
        <w:rPr>
          <w:rFonts w:ascii="Times New Roman" w:hAnsi="Times New Roman"/>
          <w:i/>
          <w:sz w:val="24"/>
          <w:szCs w:val="24"/>
          <w:lang w:val="en-US"/>
        </w:rPr>
        <w:t>Batasuna</w:t>
      </w:r>
      <w:proofErr w:type="spellEnd"/>
      <w:r>
        <w:rPr>
          <w:rFonts w:ascii="Times New Roman" w:hAnsi="Times New Roman"/>
          <w:sz w:val="24"/>
          <w:szCs w:val="24"/>
          <w:lang w:val="en-US"/>
        </w:rPr>
        <w:t xml:space="preserve"> and </w:t>
      </w:r>
      <w:r w:rsidR="00264043">
        <w:rPr>
          <w:rFonts w:ascii="Times New Roman" w:hAnsi="Times New Roman"/>
          <w:sz w:val="24"/>
          <w:szCs w:val="24"/>
          <w:lang w:val="en-US"/>
        </w:rPr>
        <w:t xml:space="preserve">its </w:t>
      </w:r>
      <w:r>
        <w:rPr>
          <w:rFonts w:ascii="Times New Roman" w:hAnsi="Times New Roman"/>
          <w:sz w:val="24"/>
          <w:szCs w:val="24"/>
          <w:lang w:val="en-US"/>
        </w:rPr>
        <w:t>successors</w:t>
      </w:r>
      <w:r w:rsidR="00264043">
        <w:rPr>
          <w:rFonts w:ascii="Times New Roman" w:hAnsi="Times New Roman"/>
          <w:sz w:val="24"/>
          <w:szCs w:val="24"/>
          <w:lang w:val="en-US"/>
        </w:rPr>
        <w:t>, and the republican parties</w:t>
      </w:r>
      <w:r>
        <w:rPr>
          <w:rFonts w:ascii="Times New Roman" w:hAnsi="Times New Roman"/>
          <w:sz w:val="24"/>
          <w:szCs w:val="24"/>
          <w:lang w:val="en-US"/>
        </w:rPr>
        <w:t xml:space="preserve"> </w:t>
      </w:r>
      <w:r w:rsidRPr="00B0617D">
        <w:rPr>
          <w:rFonts w:ascii="Times New Roman" w:hAnsi="Times New Roman"/>
          <w:i/>
          <w:sz w:val="24"/>
          <w:szCs w:val="24"/>
          <w:lang w:val="en-US"/>
        </w:rPr>
        <w:t xml:space="preserve">Sinn </w:t>
      </w:r>
      <w:proofErr w:type="spellStart"/>
      <w:r w:rsidRPr="00B0617D">
        <w:rPr>
          <w:rFonts w:ascii="Times New Roman" w:hAnsi="Times New Roman"/>
          <w:i/>
          <w:sz w:val="24"/>
          <w:szCs w:val="24"/>
          <w:lang w:val="en-US"/>
        </w:rPr>
        <w:t>Féin</w:t>
      </w:r>
      <w:proofErr w:type="spellEnd"/>
      <w:r w:rsidRPr="00B0617D">
        <w:rPr>
          <w:rFonts w:ascii="Times New Roman" w:hAnsi="Times New Roman"/>
          <w:sz w:val="24"/>
          <w:szCs w:val="24"/>
          <w:lang w:val="en-US"/>
        </w:rPr>
        <w:t xml:space="preserve"> </w:t>
      </w:r>
      <w:r>
        <w:rPr>
          <w:rFonts w:ascii="Times New Roman" w:hAnsi="Times New Roman"/>
          <w:sz w:val="24"/>
          <w:szCs w:val="24"/>
          <w:lang w:val="en-US"/>
        </w:rPr>
        <w:t>and the Republican Clubs</w:t>
      </w:r>
      <w:r w:rsidR="00264043">
        <w:rPr>
          <w:rFonts w:ascii="Times New Roman" w:hAnsi="Times New Roman"/>
          <w:sz w:val="24"/>
          <w:szCs w:val="24"/>
          <w:lang w:val="en-US"/>
        </w:rPr>
        <w:t>,</w:t>
      </w:r>
      <w:r w:rsidR="009A17AB">
        <w:rPr>
          <w:rFonts w:ascii="Times New Roman" w:hAnsi="Times New Roman"/>
          <w:sz w:val="24"/>
          <w:szCs w:val="24"/>
          <w:lang w:val="en-US"/>
        </w:rPr>
        <w:t xml:space="preserve"> enjoyed periods of legality and illegality during periods in which they </w:t>
      </w:r>
      <w:r w:rsidR="00264043">
        <w:rPr>
          <w:rFonts w:ascii="Times New Roman" w:hAnsi="Times New Roman"/>
          <w:sz w:val="24"/>
          <w:szCs w:val="24"/>
          <w:lang w:val="en-US"/>
        </w:rPr>
        <w:t xml:space="preserve">all </w:t>
      </w:r>
      <w:r w:rsidR="009A17AB">
        <w:rPr>
          <w:rFonts w:ascii="Times New Roman" w:hAnsi="Times New Roman"/>
          <w:sz w:val="24"/>
          <w:szCs w:val="24"/>
          <w:lang w:val="en-US"/>
        </w:rPr>
        <w:t xml:space="preserve">were </w:t>
      </w:r>
      <w:r w:rsidR="00C43569">
        <w:rPr>
          <w:rFonts w:ascii="Times New Roman" w:hAnsi="Times New Roman"/>
          <w:sz w:val="24"/>
          <w:szCs w:val="24"/>
          <w:lang w:val="en-US"/>
        </w:rPr>
        <w:t xml:space="preserve">implicated </w:t>
      </w:r>
      <w:bookmarkStart w:id="0" w:name="_GoBack"/>
      <w:bookmarkEnd w:id="0"/>
      <w:r w:rsidR="009A17AB">
        <w:rPr>
          <w:rFonts w:ascii="Times New Roman" w:hAnsi="Times New Roman"/>
          <w:sz w:val="24"/>
          <w:szCs w:val="24"/>
          <w:lang w:val="en-US"/>
        </w:rPr>
        <w:t xml:space="preserve">in (separate) </w:t>
      </w:r>
      <w:r w:rsidRPr="00B0617D">
        <w:rPr>
          <w:rFonts w:ascii="Times New Roman" w:hAnsi="Times New Roman"/>
          <w:sz w:val="24"/>
          <w:szCs w:val="24"/>
          <w:lang w:val="en-US"/>
        </w:rPr>
        <w:t>violent campaigns against established authorities</w:t>
      </w:r>
      <w:r w:rsidR="009A17AB">
        <w:rPr>
          <w:rFonts w:ascii="Times New Roman" w:hAnsi="Times New Roman"/>
          <w:sz w:val="24"/>
          <w:szCs w:val="24"/>
          <w:lang w:val="en-US"/>
        </w:rPr>
        <w:t>.</w:t>
      </w:r>
      <w:r w:rsidRPr="00B0617D">
        <w:rPr>
          <w:rFonts w:ascii="Times New Roman" w:hAnsi="Times New Roman"/>
          <w:sz w:val="24"/>
          <w:szCs w:val="24"/>
          <w:lang w:val="en-US"/>
        </w:rPr>
        <w:t xml:space="preserve"> </w:t>
      </w:r>
      <w:r w:rsidR="009A17AB">
        <w:rPr>
          <w:rFonts w:ascii="Times New Roman" w:hAnsi="Times New Roman"/>
          <w:sz w:val="24"/>
          <w:szCs w:val="24"/>
          <w:lang w:val="en-US"/>
        </w:rPr>
        <w:t xml:space="preserve"> </w:t>
      </w:r>
      <w:r w:rsidR="00FA0E5F">
        <w:rPr>
          <w:rFonts w:ascii="Times New Roman" w:hAnsi="Times New Roman"/>
          <w:sz w:val="24"/>
          <w:szCs w:val="24"/>
          <w:lang w:val="en-US"/>
        </w:rPr>
        <w:t xml:space="preserve">I adopt a ‘discursive </w:t>
      </w:r>
      <w:proofErr w:type="spellStart"/>
      <w:r w:rsidR="00FA0E5F">
        <w:rPr>
          <w:rFonts w:ascii="Times New Roman" w:hAnsi="Times New Roman"/>
          <w:sz w:val="24"/>
          <w:szCs w:val="24"/>
          <w:lang w:val="en-US"/>
        </w:rPr>
        <w:t>institutionalist</w:t>
      </w:r>
      <w:proofErr w:type="spellEnd"/>
      <w:r w:rsidR="00FA0E5F">
        <w:rPr>
          <w:rFonts w:ascii="Times New Roman" w:hAnsi="Times New Roman"/>
          <w:sz w:val="24"/>
          <w:szCs w:val="24"/>
          <w:lang w:val="en-US"/>
        </w:rPr>
        <w:t xml:space="preserve">’ approach and </w:t>
      </w:r>
      <w:r>
        <w:rPr>
          <w:rFonts w:ascii="Times New Roman" w:hAnsi="Times New Roman"/>
          <w:sz w:val="24"/>
          <w:szCs w:val="24"/>
          <w:lang w:val="en-US"/>
        </w:rPr>
        <w:t>argue that decisions to ban the political parties linked to the IRA and ETA can be explained at least in part by the dominance of a ‘discourse of intolerance’ in which proscription is seen predominantly as a problem of law and order; the banned party is deemed ‘abnormal’ and thus unworthy of usual privileges and entitlements; and where proscription is seen to positively contribute to ending violent conflict. In contrast, parties were legalized when a ‘discourse of tolerance’ predominated</w:t>
      </w:r>
      <w:r w:rsidR="00264043">
        <w:rPr>
          <w:rFonts w:ascii="Times New Roman" w:hAnsi="Times New Roman"/>
          <w:sz w:val="24"/>
          <w:szCs w:val="24"/>
          <w:lang w:val="en-US"/>
        </w:rPr>
        <w:t xml:space="preserve">, where </w:t>
      </w:r>
      <w:r>
        <w:rPr>
          <w:rFonts w:ascii="Times New Roman" w:hAnsi="Times New Roman"/>
          <w:sz w:val="24"/>
          <w:szCs w:val="24"/>
          <w:lang w:val="en-US"/>
        </w:rPr>
        <w:t xml:space="preserve">the role of parties for realization of free speech </w:t>
      </w:r>
      <w:r w:rsidR="009A17AB">
        <w:rPr>
          <w:rFonts w:ascii="Times New Roman" w:hAnsi="Times New Roman"/>
          <w:sz w:val="24"/>
          <w:szCs w:val="24"/>
          <w:lang w:val="en-US"/>
        </w:rPr>
        <w:t xml:space="preserve">rights </w:t>
      </w:r>
      <w:r>
        <w:rPr>
          <w:rFonts w:ascii="Times New Roman" w:hAnsi="Times New Roman"/>
          <w:sz w:val="24"/>
          <w:szCs w:val="24"/>
          <w:lang w:val="en-US"/>
        </w:rPr>
        <w:t xml:space="preserve">and representation is also emphasized, and where proscription is seen as inimical to resolution of conflict underpinning violence. </w:t>
      </w:r>
      <w:r w:rsidR="009A17AB">
        <w:rPr>
          <w:rFonts w:ascii="Times New Roman" w:hAnsi="Times New Roman"/>
          <w:sz w:val="24"/>
          <w:szCs w:val="24"/>
          <w:lang w:val="en-US"/>
        </w:rPr>
        <w:t>I</w:t>
      </w:r>
      <w:r>
        <w:rPr>
          <w:rFonts w:ascii="Times New Roman" w:hAnsi="Times New Roman"/>
          <w:sz w:val="24"/>
          <w:szCs w:val="24"/>
          <w:lang w:val="en-US"/>
        </w:rPr>
        <w:t>n the context of party competition, a winning coalition is required for one discourse to predominate.  However, I also argued that both ideas and institutions matter</w:t>
      </w:r>
      <w:r w:rsidR="00FA0E5F">
        <w:rPr>
          <w:rFonts w:ascii="Times New Roman" w:hAnsi="Times New Roman"/>
          <w:sz w:val="24"/>
          <w:szCs w:val="24"/>
          <w:lang w:val="en-US"/>
        </w:rPr>
        <w:t>;</w:t>
      </w:r>
      <w:r>
        <w:rPr>
          <w:rFonts w:ascii="Times New Roman" w:hAnsi="Times New Roman"/>
          <w:sz w:val="24"/>
          <w:szCs w:val="24"/>
          <w:lang w:val="en-US"/>
        </w:rPr>
        <w:t xml:space="preserve"> varying institutional structures and norms empower different actors in the two countries with the result that </w:t>
      </w:r>
      <w:r w:rsidR="00FA0E5F">
        <w:rPr>
          <w:rFonts w:ascii="Times New Roman" w:hAnsi="Times New Roman"/>
          <w:sz w:val="24"/>
          <w:szCs w:val="24"/>
          <w:lang w:val="en-US"/>
        </w:rPr>
        <w:t xml:space="preserve">unlike the UK, </w:t>
      </w:r>
      <w:r>
        <w:rPr>
          <w:rFonts w:ascii="Times New Roman" w:hAnsi="Times New Roman"/>
          <w:sz w:val="24"/>
          <w:szCs w:val="24"/>
          <w:lang w:val="en-US"/>
        </w:rPr>
        <w:t xml:space="preserve">the judiciary </w:t>
      </w:r>
      <w:r w:rsidR="009A17AB">
        <w:rPr>
          <w:rFonts w:ascii="Times New Roman" w:hAnsi="Times New Roman"/>
          <w:sz w:val="24"/>
          <w:szCs w:val="24"/>
          <w:lang w:val="en-US"/>
        </w:rPr>
        <w:t xml:space="preserve">are </w:t>
      </w:r>
      <w:r>
        <w:rPr>
          <w:rFonts w:ascii="Times New Roman" w:hAnsi="Times New Roman"/>
          <w:sz w:val="24"/>
          <w:szCs w:val="24"/>
          <w:lang w:val="en-US"/>
        </w:rPr>
        <w:t xml:space="preserve">veto players </w:t>
      </w:r>
      <w:r w:rsidR="00FA0E5F">
        <w:rPr>
          <w:rFonts w:ascii="Times New Roman" w:hAnsi="Times New Roman"/>
          <w:sz w:val="24"/>
          <w:szCs w:val="24"/>
          <w:lang w:val="en-US"/>
        </w:rPr>
        <w:t xml:space="preserve">in Spain and are </w:t>
      </w:r>
      <w:r>
        <w:rPr>
          <w:rFonts w:ascii="Times New Roman" w:hAnsi="Times New Roman"/>
          <w:sz w:val="24"/>
          <w:szCs w:val="24"/>
          <w:lang w:val="en-US"/>
        </w:rPr>
        <w:t>able to overturn preferences of political parties on matters of proscription if they have not been in agreement.</w:t>
      </w:r>
    </w:p>
    <w:p w:rsidR="00E44F1E" w:rsidRDefault="00E44F1E" w:rsidP="00E72A5F">
      <w:pPr>
        <w:pStyle w:val="ListParagraph"/>
        <w:spacing w:line="360" w:lineRule="auto"/>
        <w:ind w:left="0"/>
        <w:rPr>
          <w:rFonts w:ascii="Times New Roman" w:hAnsi="Times New Roman"/>
          <w:b/>
          <w:sz w:val="24"/>
          <w:szCs w:val="24"/>
        </w:rPr>
      </w:pPr>
    </w:p>
    <w:p w:rsidR="00E44F1E" w:rsidRDefault="00E44F1E" w:rsidP="00E72A5F">
      <w:pPr>
        <w:pStyle w:val="ListParagraph"/>
        <w:spacing w:line="360" w:lineRule="auto"/>
        <w:ind w:left="0"/>
        <w:rPr>
          <w:rFonts w:ascii="Times New Roman" w:hAnsi="Times New Roman"/>
          <w:b/>
          <w:sz w:val="24"/>
          <w:szCs w:val="24"/>
        </w:rPr>
      </w:pPr>
    </w:p>
    <w:p w:rsidR="00E44F1E" w:rsidRDefault="00E44F1E" w:rsidP="00E72A5F">
      <w:pPr>
        <w:pStyle w:val="ListParagraph"/>
        <w:spacing w:line="360" w:lineRule="auto"/>
        <w:ind w:left="0"/>
        <w:rPr>
          <w:rFonts w:ascii="Times New Roman" w:hAnsi="Times New Roman"/>
          <w:b/>
          <w:sz w:val="24"/>
          <w:szCs w:val="24"/>
        </w:rPr>
      </w:pPr>
    </w:p>
    <w:p w:rsidR="0021746F" w:rsidRPr="00B0617D" w:rsidRDefault="0021746F" w:rsidP="00E72A5F">
      <w:pPr>
        <w:pStyle w:val="ListParagraph"/>
        <w:spacing w:line="360" w:lineRule="auto"/>
        <w:ind w:left="0"/>
        <w:rPr>
          <w:rFonts w:ascii="Times New Roman" w:hAnsi="Times New Roman"/>
          <w:b/>
          <w:sz w:val="24"/>
          <w:szCs w:val="24"/>
        </w:rPr>
      </w:pPr>
      <w:r w:rsidRPr="00B0617D">
        <w:rPr>
          <w:rFonts w:ascii="Times New Roman" w:hAnsi="Times New Roman"/>
          <w:b/>
          <w:sz w:val="24"/>
          <w:szCs w:val="24"/>
        </w:rPr>
        <w:t>Introduction</w:t>
      </w:r>
    </w:p>
    <w:p w:rsidR="0021746F" w:rsidRPr="00B0617D" w:rsidRDefault="0021746F" w:rsidP="00E72A5F">
      <w:pPr>
        <w:pStyle w:val="ListParagraph"/>
        <w:spacing w:line="360" w:lineRule="auto"/>
        <w:ind w:left="0"/>
        <w:rPr>
          <w:rFonts w:ascii="Times New Roman" w:hAnsi="Times New Roman"/>
          <w:sz w:val="24"/>
          <w:szCs w:val="24"/>
          <w:lang w:val="en-US"/>
        </w:rPr>
      </w:pPr>
    </w:p>
    <w:p w:rsidR="0021746F" w:rsidRDefault="0021746F" w:rsidP="00FE609C">
      <w:pPr>
        <w:pStyle w:val="ListParagraph"/>
        <w:spacing w:line="360" w:lineRule="auto"/>
        <w:ind w:left="0"/>
        <w:rPr>
          <w:rFonts w:ascii="Times New Roman" w:hAnsi="Times New Roman"/>
          <w:sz w:val="24"/>
          <w:szCs w:val="24"/>
          <w:lang w:val="en-US"/>
        </w:rPr>
      </w:pPr>
      <w:r w:rsidRPr="00B0617D">
        <w:rPr>
          <w:rFonts w:ascii="Times New Roman" w:hAnsi="Times New Roman"/>
          <w:sz w:val="24"/>
          <w:szCs w:val="24"/>
          <w:lang w:val="en-US"/>
        </w:rPr>
        <w:t>Following the death of General Francisco Franco in 1975</w:t>
      </w:r>
      <w:r w:rsidR="00351140">
        <w:rPr>
          <w:rFonts w:ascii="Times New Roman" w:hAnsi="Times New Roman"/>
          <w:sz w:val="24"/>
          <w:szCs w:val="24"/>
          <w:lang w:val="en-US"/>
        </w:rPr>
        <w:t xml:space="preserve"> and the initiation of democratization</w:t>
      </w:r>
      <w:r w:rsidRPr="00B0617D">
        <w:rPr>
          <w:rFonts w:ascii="Times New Roman" w:hAnsi="Times New Roman"/>
          <w:sz w:val="24"/>
          <w:szCs w:val="24"/>
          <w:lang w:val="en-US"/>
        </w:rPr>
        <w:t xml:space="preserve">, the Spanish state legalized </w:t>
      </w:r>
      <w:r w:rsidR="00622E12">
        <w:rPr>
          <w:rFonts w:ascii="Times New Roman" w:hAnsi="Times New Roman"/>
          <w:sz w:val="24"/>
          <w:szCs w:val="24"/>
          <w:lang w:val="en-US"/>
        </w:rPr>
        <w:t xml:space="preserve">all </w:t>
      </w:r>
      <w:r w:rsidRPr="00B0617D">
        <w:rPr>
          <w:rFonts w:ascii="Times New Roman" w:hAnsi="Times New Roman"/>
          <w:sz w:val="24"/>
          <w:szCs w:val="24"/>
          <w:lang w:val="en-US"/>
        </w:rPr>
        <w:t xml:space="preserve">political parties and took a permissive stance on the legality of anti-system parties, such as the radical Basque nationalist party </w:t>
      </w:r>
      <w:proofErr w:type="spellStart"/>
      <w:r w:rsidRPr="00B0617D">
        <w:rPr>
          <w:rFonts w:ascii="Times New Roman" w:hAnsi="Times New Roman"/>
          <w:i/>
          <w:sz w:val="24"/>
          <w:szCs w:val="24"/>
          <w:lang w:val="en-US"/>
        </w:rPr>
        <w:t>Herri</w:t>
      </w:r>
      <w:proofErr w:type="spellEnd"/>
      <w:r w:rsidRPr="00B0617D">
        <w:rPr>
          <w:rFonts w:ascii="Times New Roman" w:hAnsi="Times New Roman"/>
          <w:i/>
          <w:sz w:val="24"/>
          <w:szCs w:val="24"/>
          <w:lang w:val="en-US"/>
        </w:rPr>
        <w:t xml:space="preserve"> </w:t>
      </w:r>
      <w:proofErr w:type="spellStart"/>
      <w:r w:rsidRPr="00B0617D">
        <w:rPr>
          <w:rFonts w:ascii="Times New Roman" w:hAnsi="Times New Roman"/>
          <w:i/>
          <w:sz w:val="24"/>
          <w:szCs w:val="24"/>
          <w:lang w:val="en-US"/>
        </w:rPr>
        <w:t>Batasuna</w:t>
      </w:r>
      <w:proofErr w:type="spellEnd"/>
      <w:r w:rsidRPr="00B0617D">
        <w:rPr>
          <w:rFonts w:ascii="Times New Roman" w:hAnsi="Times New Roman"/>
          <w:i/>
          <w:sz w:val="24"/>
          <w:szCs w:val="24"/>
          <w:lang w:val="en-US"/>
        </w:rPr>
        <w:t xml:space="preserve"> </w:t>
      </w:r>
      <w:r w:rsidRPr="00B0617D">
        <w:rPr>
          <w:rFonts w:ascii="Times New Roman" w:hAnsi="Times New Roman"/>
          <w:sz w:val="24"/>
          <w:szCs w:val="24"/>
          <w:lang w:val="en-US"/>
        </w:rPr>
        <w:t xml:space="preserve">(HB). However, in 2003, the Spanish Supreme Court banned </w:t>
      </w:r>
      <w:proofErr w:type="spellStart"/>
      <w:r w:rsidRPr="00B0617D">
        <w:rPr>
          <w:rFonts w:ascii="Times New Roman" w:hAnsi="Times New Roman"/>
          <w:i/>
          <w:sz w:val="24"/>
          <w:szCs w:val="24"/>
          <w:lang w:val="en-US"/>
        </w:rPr>
        <w:t>Herri</w:t>
      </w:r>
      <w:proofErr w:type="spellEnd"/>
      <w:r w:rsidRPr="00B0617D">
        <w:rPr>
          <w:rFonts w:ascii="Times New Roman" w:hAnsi="Times New Roman"/>
          <w:i/>
          <w:sz w:val="24"/>
          <w:szCs w:val="24"/>
          <w:lang w:val="en-US"/>
        </w:rPr>
        <w:t xml:space="preserve"> </w:t>
      </w:r>
      <w:proofErr w:type="spellStart"/>
      <w:r w:rsidRPr="00B0617D">
        <w:rPr>
          <w:rFonts w:ascii="Times New Roman" w:hAnsi="Times New Roman"/>
          <w:i/>
          <w:sz w:val="24"/>
          <w:szCs w:val="24"/>
          <w:lang w:val="en-US"/>
        </w:rPr>
        <w:t>Batasuna</w:t>
      </w:r>
      <w:proofErr w:type="spellEnd"/>
      <w:r w:rsidRPr="00B0617D">
        <w:rPr>
          <w:rFonts w:ascii="Times New Roman" w:hAnsi="Times New Roman"/>
          <w:sz w:val="24"/>
          <w:szCs w:val="24"/>
          <w:lang w:val="en-US"/>
        </w:rPr>
        <w:t xml:space="preserve"> and its successors </w:t>
      </w:r>
      <w:proofErr w:type="spellStart"/>
      <w:r w:rsidRPr="00B0617D">
        <w:rPr>
          <w:rFonts w:ascii="Times New Roman" w:hAnsi="Times New Roman"/>
          <w:i/>
          <w:sz w:val="24"/>
          <w:szCs w:val="24"/>
          <w:lang w:val="en-US"/>
        </w:rPr>
        <w:t>Euskal</w:t>
      </w:r>
      <w:proofErr w:type="spellEnd"/>
      <w:r w:rsidRPr="00B0617D">
        <w:rPr>
          <w:rFonts w:ascii="Times New Roman" w:hAnsi="Times New Roman"/>
          <w:i/>
          <w:sz w:val="24"/>
          <w:szCs w:val="24"/>
          <w:lang w:val="en-US"/>
        </w:rPr>
        <w:t xml:space="preserve"> </w:t>
      </w:r>
      <w:proofErr w:type="spellStart"/>
      <w:r w:rsidRPr="00B0617D">
        <w:rPr>
          <w:rFonts w:ascii="Times New Roman" w:hAnsi="Times New Roman"/>
          <w:i/>
          <w:sz w:val="24"/>
          <w:szCs w:val="24"/>
          <w:lang w:val="en-US"/>
        </w:rPr>
        <w:t>Herritarrok</w:t>
      </w:r>
      <w:proofErr w:type="spellEnd"/>
      <w:r w:rsidRPr="00B0617D">
        <w:rPr>
          <w:rFonts w:ascii="Times New Roman" w:hAnsi="Times New Roman"/>
          <w:sz w:val="24"/>
          <w:szCs w:val="24"/>
          <w:lang w:val="en-US"/>
        </w:rPr>
        <w:t xml:space="preserve"> (EH) and </w:t>
      </w:r>
      <w:proofErr w:type="spellStart"/>
      <w:r w:rsidRPr="00B0617D">
        <w:rPr>
          <w:rFonts w:ascii="Times New Roman" w:hAnsi="Times New Roman"/>
          <w:i/>
          <w:sz w:val="24"/>
          <w:szCs w:val="24"/>
          <w:lang w:val="en-US"/>
        </w:rPr>
        <w:t>Batasuna</w:t>
      </w:r>
      <w:proofErr w:type="spellEnd"/>
      <w:r w:rsidRPr="00B0617D">
        <w:rPr>
          <w:rFonts w:ascii="Times New Roman" w:hAnsi="Times New Roman"/>
          <w:i/>
          <w:sz w:val="24"/>
          <w:szCs w:val="24"/>
          <w:lang w:val="en-US"/>
        </w:rPr>
        <w:t xml:space="preserve"> </w:t>
      </w:r>
      <w:r w:rsidRPr="00B0617D">
        <w:rPr>
          <w:rFonts w:ascii="Times New Roman" w:hAnsi="Times New Roman"/>
          <w:sz w:val="24"/>
          <w:szCs w:val="24"/>
          <w:lang w:val="en-US"/>
        </w:rPr>
        <w:t>for</w:t>
      </w:r>
      <w:r w:rsidRPr="00B0617D">
        <w:rPr>
          <w:rFonts w:ascii="Times New Roman" w:hAnsi="Times New Roman"/>
          <w:i/>
          <w:sz w:val="24"/>
          <w:szCs w:val="24"/>
          <w:lang w:val="en-US"/>
        </w:rPr>
        <w:t xml:space="preserve"> </w:t>
      </w:r>
      <w:r w:rsidRPr="00B0617D">
        <w:rPr>
          <w:rFonts w:ascii="Times New Roman" w:hAnsi="Times New Roman"/>
          <w:sz w:val="24"/>
          <w:szCs w:val="24"/>
          <w:lang w:val="en-US"/>
        </w:rPr>
        <w:t xml:space="preserve">integration in a terrorist network led by </w:t>
      </w:r>
      <w:proofErr w:type="spellStart"/>
      <w:r w:rsidRPr="00B0617D">
        <w:rPr>
          <w:rFonts w:ascii="Times New Roman" w:hAnsi="Times New Roman"/>
          <w:i/>
          <w:sz w:val="24"/>
          <w:szCs w:val="24"/>
          <w:lang w:val="en-US"/>
        </w:rPr>
        <w:t>Euskadi</w:t>
      </w:r>
      <w:proofErr w:type="spellEnd"/>
      <w:r w:rsidRPr="00B0617D">
        <w:rPr>
          <w:rFonts w:ascii="Times New Roman" w:hAnsi="Times New Roman"/>
          <w:i/>
          <w:sz w:val="24"/>
          <w:szCs w:val="24"/>
          <w:lang w:val="en-US"/>
        </w:rPr>
        <w:t xml:space="preserve"> Ta </w:t>
      </w:r>
      <w:proofErr w:type="spellStart"/>
      <w:r w:rsidRPr="00B0617D">
        <w:rPr>
          <w:rFonts w:ascii="Times New Roman" w:hAnsi="Times New Roman"/>
          <w:i/>
          <w:sz w:val="24"/>
          <w:szCs w:val="24"/>
          <w:lang w:val="en-US"/>
        </w:rPr>
        <w:t>Askatasuna</w:t>
      </w:r>
      <w:proofErr w:type="spellEnd"/>
      <w:r w:rsidRPr="00B0617D">
        <w:rPr>
          <w:rFonts w:ascii="Times New Roman" w:hAnsi="Times New Roman"/>
          <w:sz w:val="24"/>
          <w:szCs w:val="24"/>
          <w:lang w:val="en-US"/>
        </w:rPr>
        <w:t xml:space="preserve"> (ETA, Basque Homeland and Freedom). </w:t>
      </w:r>
      <w:r>
        <w:rPr>
          <w:rFonts w:ascii="Times New Roman" w:hAnsi="Times New Roman"/>
          <w:sz w:val="24"/>
          <w:szCs w:val="24"/>
          <w:lang w:val="en-US"/>
        </w:rPr>
        <w:t xml:space="preserve">Between 2003 and 2012, </w:t>
      </w:r>
      <w:r w:rsidRPr="00B0617D">
        <w:rPr>
          <w:rFonts w:ascii="Times New Roman" w:hAnsi="Times New Roman"/>
          <w:sz w:val="24"/>
          <w:szCs w:val="24"/>
          <w:lang w:val="en-US"/>
        </w:rPr>
        <w:t xml:space="preserve">efforts to revive </w:t>
      </w:r>
      <w:proofErr w:type="spellStart"/>
      <w:r w:rsidRPr="00B0617D">
        <w:rPr>
          <w:rFonts w:ascii="Times New Roman" w:hAnsi="Times New Roman"/>
          <w:i/>
          <w:sz w:val="24"/>
          <w:szCs w:val="24"/>
          <w:lang w:val="en-US"/>
        </w:rPr>
        <w:t>Batasuna</w:t>
      </w:r>
      <w:proofErr w:type="spellEnd"/>
      <w:r w:rsidRPr="00B0617D">
        <w:rPr>
          <w:rFonts w:ascii="Times New Roman" w:hAnsi="Times New Roman"/>
          <w:sz w:val="24"/>
          <w:szCs w:val="24"/>
          <w:lang w:val="en-US"/>
        </w:rPr>
        <w:t xml:space="preserve"> under a different guise were blocked by the </w:t>
      </w:r>
      <w:r w:rsidR="00622E12">
        <w:rPr>
          <w:rFonts w:ascii="Times New Roman" w:hAnsi="Times New Roman"/>
          <w:sz w:val="24"/>
          <w:szCs w:val="24"/>
          <w:lang w:val="en-US"/>
        </w:rPr>
        <w:t xml:space="preserve">government and ultimately the </w:t>
      </w:r>
      <w:r w:rsidRPr="00B0617D">
        <w:rPr>
          <w:rFonts w:ascii="Times New Roman" w:hAnsi="Times New Roman"/>
          <w:sz w:val="24"/>
          <w:szCs w:val="24"/>
          <w:lang w:val="en-US"/>
        </w:rPr>
        <w:t xml:space="preserve">courts (See Table 1). For its part, </w:t>
      </w:r>
      <w:r w:rsidRPr="00B0617D">
        <w:rPr>
          <w:rFonts w:ascii="Times New Roman" w:hAnsi="Times New Roman"/>
          <w:i/>
          <w:sz w:val="24"/>
          <w:szCs w:val="24"/>
          <w:lang w:val="en-US"/>
        </w:rPr>
        <w:t xml:space="preserve">Sinn </w:t>
      </w:r>
      <w:proofErr w:type="spellStart"/>
      <w:r w:rsidRPr="00B0617D">
        <w:rPr>
          <w:rFonts w:ascii="Times New Roman" w:hAnsi="Times New Roman"/>
          <w:i/>
          <w:sz w:val="24"/>
          <w:szCs w:val="24"/>
          <w:lang w:val="en-US"/>
        </w:rPr>
        <w:t>Féin</w:t>
      </w:r>
      <w:proofErr w:type="spellEnd"/>
      <w:r w:rsidRPr="00B0617D">
        <w:rPr>
          <w:rFonts w:ascii="Times New Roman" w:hAnsi="Times New Roman"/>
          <w:sz w:val="24"/>
          <w:szCs w:val="24"/>
          <w:lang w:val="en-US"/>
        </w:rPr>
        <w:t xml:space="preserve"> has moved in and out of legality over its long history and its status has varied according to territorial jurisdiction (See Table 2). Of particular relevance is the fact that </w:t>
      </w:r>
      <w:r w:rsidRPr="00B0617D">
        <w:rPr>
          <w:rFonts w:ascii="Times New Roman" w:hAnsi="Times New Roman"/>
          <w:i/>
          <w:sz w:val="24"/>
          <w:szCs w:val="24"/>
          <w:lang w:val="en-US"/>
        </w:rPr>
        <w:t xml:space="preserve">Sinn </w:t>
      </w:r>
      <w:proofErr w:type="spellStart"/>
      <w:r w:rsidRPr="00B0617D">
        <w:rPr>
          <w:rFonts w:ascii="Times New Roman" w:hAnsi="Times New Roman"/>
          <w:i/>
          <w:sz w:val="24"/>
          <w:szCs w:val="24"/>
          <w:lang w:val="en-US"/>
        </w:rPr>
        <w:t>Féin</w:t>
      </w:r>
      <w:proofErr w:type="spellEnd"/>
      <w:r w:rsidRPr="00B0617D">
        <w:rPr>
          <w:rFonts w:ascii="Times New Roman" w:hAnsi="Times New Roman"/>
          <w:sz w:val="24"/>
          <w:szCs w:val="24"/>
          <w:lang w:val="en-US"/>
        </w:rPr>
        <w:t xml:space="preserve"> was banned in </w:t>
      </w:r>
      <w:r>
        <w:rPr>
          <w:rFonts w:ascii="Times New Roman" w:hAnsi="Times New Roman"/>
          <w:sz w:val="24"/>
          <w:szCs w:val="24"/>
          <w:lang w:val="en-US"/>
        </w:rPr>
        <w:t xml:space="preserve">Northern Ireland </w:t>
      </w:r>
      <w:r w:rsidR="00622E12">
        <w:rPr>
          <w:rFonts w:ascii="Times New Roman" w:hAnsi="Times New Roman"/>
          <w:sz w:val="24"/>
          <w:szCs w:val="24"/>
          <w:lang w:val="en-US"/>
        </w:rPr>
        <w:t xml:space="preserve">in </w:t>
      </w:r>
      <w:r w:rsidRPr="007C40CC">
        <w:rPr>
          <w:rFonts w:ascii="Times New Roman" w:hAnsi="Times New Roman"/>
          <w:sz w:val="24"/>
          <w:szCs w:val="24"/>
          <w:lang w:val="en-US"/>
        </w:rPr>
        <w:t>1956 as one of a series of measures in response to the inauguration of the Irish Republican Army’s (IRA) Border Campaign 1956-1962.</w:t>
      </w:r>
      <w:r>
        <w:rPr>
          <w:rFonts w:ascii="Times New Roman" w:hAnsi="Times New Roman"/>
          <w:sz w:val="24"/>
          <w:szCs w:val="24"/>
          <w:lang w:val="en-US"/>
        </w:rPr>
        <w:t xml:space="preserve"> Reformed under the name of the Republican Clubs, </w:t>
      </w:r>
      <w:r w:rsidRPr="00FE609C">
        <w:rPr>
          <w:rFonts w:ascii="Times New Roman" w:hAnsi="Times New Roman"/>
          <w:i/>
          <w:sz w:val="24"/>
          <w:szCs w:val="24"/>
          <w:lang w:val="en-US"/>
        </w:rPr>
        <w:t>Sinn Fein</w:t>
      </w:r>
      <w:r>
        <w:rPr>
          <w:rFonts w:ascii="Times New Roman" w:hAnsi="Times New Roman"/>
          <w:sz w:val="24"/>
          <w:szCs w:val="24"/>
          <w:lang w:val="en-US"/>
        </w:rPr>
        <w:t xml:space="preserve"> was again banned in </w:t>
      </w:r>
      <w:smartTag w:uri="urn:schemas-microsoft-com:office:smarttags" w:element="country-region">
        <w:smartTag w:uri="urn:schemas-microsoft-com:office:smarttags" w:element="place">
          <w:r>
            <w:rPr>
              <w:rFonts w:ascii="Times New Roman" w:hAnsi="Times New Roman"/>
              <w:sz w:val="24"/>
              <w:szCs w:val="24"/>
              <w:lang w:val="en-US"/>
            </w:rPr>
            <w:t>Northern Ireland</w:t>
          </w:r>
        </w:smartTag>
      </w:smartTag>
      <w:r>
        <w:rPr>
          <w:rFonts w:ascii="Times New Roman" w:hAnsi="Times New Roman"/>
          <w:sz w:val="24"/>
          <w:szCs w:val="24"/>
          <w:lang w:val="en-US"/>
        </w:rPr>
        <w:t xml:space="preserve"> in 1967. </w:t>
      </w:r>
      <w:r w:rsidRPr="00B0617D">
        <w:rPr>
          <w:rFonts w:ascii="Times New Roman" w:hAnsi="Times New Roman"/>
          <w:sz w:val="24"/>
          <w:szCs w:val="24"/>
          <w:lang w:val="en-US"/>
        </w:rPr>
        <w:t xml:space="preserve">Nevertheless, in a striking contrast to the case of </w:t>
      </w:r>
      <w:proofErr w:type="spellStart"/>
      <w:r w:rsidRPr="00B0617D">
        <w:rPr>
          <w:rFonts w:ascii="Times New Roman" w:hAnsi="Times New Roman"/>
          <w:i/>
          <w:sz w:val="24"/>
          <w:szCs w:val="24"/>
          <w:lang w:val="en-US"/>
        </w:rPr>
        <w:t>Batasuna</w:t>
      </w:r>
      <w:proofErr w:type="spellEnd"/>
      <w:r w:rsidRPr="00B0617D">
        <w:rPr>
          <w:rFonts w:ascii="Times New Roman" w:hAnsi="Times New Roman"/>
          <w:sz w:val="24"/>
          <w:szCs w:val="24"/>
          <w:lang w:val="en-US"/>
        </w:rPr>
        <w:t xml:space="preserve"> in Spain, </w:t>
      </w:r>
      <w:r w:rsidR="00622E12">
        <w:rPr>
          <w:rFonts w:ascii="Times New Roman" w:hAnsi="Times New Roman"/>
          <w:sz w:val="24"/>
          <w:szCs w:val="24"/>
          <w:lang w:val="en-US"/>
        </w:rPr>
        <w:t xml:space="preserve">the Republican Clubs and </w:t>
      </w:r>
      <w:r w:rsidRPr="00B0617D">
        <w:rPr>
          <w:rFonts w:ascii="Times New Roman" w:hAnsi="Times New Roman"/>
          <w:i/>
          <w:sz w:val="24"/>
          <w:szCs w:val="24"/>
          <w:lang w:val="en-US"/>
        </w:rPr>
        <w:t xml:space="preserve">Sinn </w:t>
      </w:r>
      <w:proofErr w:type="spellStart"/>
      <w:r w:rsidRPr="00B0617D">
        <w:rPr>
          <w:rFonts w:ascii="Times New Roman" w:hAnsi="Times New Roman"/>
          <w:i/>
          <w:sz w:val="24"/>
          <w:szCs w:val="24"/>
          <w:lang w:val="en-US"/>
        </w:rPr>
        <w:t>Féin</w:t>
      </w:r>
      <w:proofErr w:type="spellEnd"/>
      <w:r w:rsidRPr="00B0617D">
        <w:rPr>
          <w:rFonts w:ascii="Times New Roman" w:hAnsi="Times New Roman"/>
          <w:sz w:val="24"/>
          <w:szCs w:val="24"/>
          <w:lang w:val="en-US"/>
        </w:rPr>
        <w:t xml:space="preserve"> </w:t>
      </w:r>
      <w:r w:rsidR="00622E12">
        <w:rPr>
          <w:rFonts w:ascii="Times New Roman" w:hAnsi="Times New Roman"/>
          <w:sz w:val="24"/>
          <w:szCs w:val="24"/>
          <w:lang w:val="en-US"/>
        </w:rPr>
        <w:t xml:space="preserve">were </w:t>
      </w:r>
      <w:r w:rsidRPr="00B0617D">
        <w:rPr>
          <w:rFonts w:ascii="Times New Roman" w:hAnsi="Times New Roman"/>
          <w:sz w:val="24"/>
          <w:szCs w:val="24"/>
          <w:lang w:val="en-US"/>
        </w:rPr>
        <w:t xml:space="preserve">legalized in </w:t>
      </w:r>
      <w:r w:rsidR="00622E12">
        <w:rPr>
          <w:rFonts w:ascii="Times New Roman" w:hAnsi="Times New Roman"/>
          <w:sz w:val="24"/>
          <w:szCs w:val="24"/>
          <w:lang w:val="en-US"/>
        </w:rPr>
        <w:t>197</w:t>
      </w:r>
      <w:r w:rsidR="00351140">
        <w:rPr>
          <w:rFonts w:ascii="Times New Roman" w:hAnsi="Times New Roman"/>
          <w:sz w:val="24"/>
          <w:szCs w:val="24"/>
          <w:lang w:val="en-US"/>
        </w:rPr>
        <w:t>3</w:t>
      </w:r>
      <w:r w:rsidR="00622E12">
        <w:rPr>
          <w:rFonts w:ascii="Times New Roman" w:hAnsi="Times New Roman"/>
          <w:sz w:val="24"/>
          <w:szCs w:val="24"/>
          <w:lang w:val="en-US"/>
        </w:rPr>
        <w:t xml:space="preserve"> and </w:t>
      </w:r>
      <w:r w:rsidRPr="00B0617D">
        <w:rPr>
          <w:rFonts w:ascii="Times New Roman" w:hAnsi="Times New Roman"/>
          <w:sz w:val="24"/>
          <w:szCs w:val="24"/>
          <w:lang w:val="en-US"/>
        </w:rPr>
        <w:t>197</w:t>
      </w:r>
      <w:r>
        <w:rPr>
          <w:rFonts w:ascii="Times New Roman" w:hAnsi="Times New Roman"/>
          <w:sz w:val="24"/>
          <w:szCs w:val="24"/>
          <w:lang w:val="en-US"/>
        </w:rPr>
        <w:t>4</w:t>
      </w:r>
      <w:r w:rsidR="00622E12">
        <w:rPr>
          <w:rFonts w:ascii="Times New Roman" w:hAnsi="Times New Roman"/>
          <w:sz w:val="24"/>
          <w:szCs w:val="24"/>
          <w:lang w:val="en-US"/>
        </w:rPr>
        <w:t xml:space="preserve"> respectively,</w:t>
      </w:r>
      <w:r w:rsidRPr="00B0617D">
        <w:rPr>
          <w:rFonts w:ascii="Times New Roman" w:hAnsi="Times New Roman"/>
          <w:sz w:val="24"/>
          <w:szCs w:val="24"/>
          <w:lang w:val="en-US"/>
        </w:rPr>
        <w:t xml:space="preserve"> following British military intervention in Northern Ireland and the resumption of direct rule from Westminster. </w:t>
      </w:r>
      <w:r w:rsidR="00126C5F">
        <w:rPr>
          <w:rFonts w:ascii="Times New Roman" w:hAnsi="Times New Roman"/>
          <w:sz w:val="24"/>
          <w:szCs w:val="24"/>
          <w:lang w:val="en-US"/>
        </w:rPr>
        <w:t xml:space="preserve">In short, all of these parties enjoyed periods of legality and illegality, despite their implication in </w:t>
      </w:r>
      <w:r w:rsidRPr="00B0617D">
        <w:rPr>
          <w:rFonts w:ascii="Times New Roman" w:hAnsi="Times New Roman"/>
          <w:sz w:val="24"/>
          <w:szCs w:val="24"/>
          <w:lang w:val="en-US"/>
        </w:rPr>
        <w:t xml:space="preserve">violent campaigns against established authorities </w:t>
      </w:r>
      <w:r w:rsidR="00126C5F">
        <w:rPr>
          <w:rFonts w:ascii="Times New Roman" w:hAnsi="Times New Roman"/>
          <w:sz w:val="24"/>
          <w:szCs w:val="24"/>
          <w:lang w:val="en-US"/>
        </w:rPr>
        <w:t xml:space="preserve">conducted by either of the </w:t>
      </w:r>
      <w:r w:rsidRPr="00B0617D">
        <w:rPr>
          <w:rFonts w:ascii="Times New Roman" w:hAnsi="Times New Roman"/>
          <w:sz w:val="24"/>
          <w:szCs w:val="24"/>
          <w:lang w:val="en-US"/>
        </w:rPr>
        <w:t>paramilitary</w:t>
      </w:r>
      <w:r w:rsidR="00126C5F">
        <w:rPr>
          <w:rFonts w:ascii="Times New Roman" w:hAnsi="Times New Roman"/>
          <w:sz w:val="24"/>
          <w:szCs w:val="24"/>
          <w:lang w:val="en-US"/>
        </w:rPr>
        <w:t xml:space="preserve"> groups</w:t>
      </w:r>
      <w:r>
        <w:rPr>
          <w:rFonts w:ascii="Times New Roman" w:hAnsi="Times New Roman"/>
          <w:sz w:val="24"/>
          <w:szCs w:val="24"/>
          <w:lang w:val="en-US"/>
        </w:rPr>
        <w:t xml:space="preserve"> ETA </w:t>
      </w:r>
      <w:r w:rsidR="00126C5F">
        <w:rPr>
          <w:rFonts w:ascii="Times New Roman" w:hAnsi="Times New Roman"/>
          <w:sz w:val="24"/>
          <w:szCs w:val="24"/>
          <w:lang w:val="en-US"/>
        </w:rPr>
        <w:t xml:space="preserve">or the </w:t>
      </w:r>
      <w:r>
        <w:rPr>
          <w:rFonts w:ascii="Times New Roman" w:hAnsi="Times New Roman"/>
          <w:sz w:val="24"/>
          <w:szCs w:val="24"/>
          <w:lang w:val="en-US"/>
        </w:rPr>
        <w:t>IRA.</w:t>
      </w:r>
      <w:r w:rsidRPr="00B0617D">
        <w:rPr>
          <w:rFonts w:ascii="Times New Roman" w:hAnsi="Times New Roman"/>
          <w:sz w:val="24"/>
          <w:szCs w:val="24"/>
          <w:lang w:val="en-US"/>
        </w:rPr>
        <w:t xml:space="preserve"> </w:t>
      </w:r>
    </w:p>
    <w:p w:rsidR="0021746F" w:rsidRDefault="0021746F" w:rsidP="00FE609C">
      <w:pPr>
        <w:pStyle w:val="ListParagraph"/>
        <w:spacing w:line="360" w:lineRule="auto"/>
        <w:ind w:left="0"/>
        <w:rPr>
          <w:rFonts w:ascii="Times New Roman" w:hAnsi="Times New Roman"/>
          <w:sz w:val="24"/>
          <w:szCs w:val="24"/>
          <w:lang w:val="en-US"/>
        </w:rPr>
      </w:pPr>
    </w:p>
    <w:p w:rsidR="0021746F" w:rsidRDefault="0021746F" w:rsidP="00FE609C">
      <w:pPr>
        <w:pStyle w:val="ListParagraph"/>
        <w:spacing w:line="360" w:lineRule="auto"/>
        <w:ind w:left="0"/>
        <w:rPr>
          <w:rFonts w:ascii="Times New Roman" w:hAnsi="Times New Roman"/>
          <w:i/>
          <w:sz w:val="24"/>
          <w:szCs w:val="24"/>
          <w:lang w:val="en-US"/>
        </w:rPr>
      </w:pPr>
      <w:r w:rsidRPr="00B0617D">
        <w:rPr>
          <w:rFonts w:ascii="Times New Roman" w:hAnsi="Times New Roman"/>
          <w:sz w:val="24"/>
          <w:szCs w:val="24"/>
          <w:lang w:val="en-US"/>
        </w:rPr>
        <w:t xml:space="preserve">This is the empirical principal puzzle I address in the paper: </w:t>
      </w:r>
      <w:r w:rsidRPr="00B0617D">
        <w:rPr>
          <w:rFonts w:ascii="Times New Roman" w:hAnsi="Times New Roman"/>
          <w:i/>
          <w:sz w:val="24"/>
          <w:szCs w:val="24"/>
          <w:lang w:val="en-US"/>
        </w:rPr>
        <w:t xml:space="preserve">why do parties </w:t>
      </w:r>
      <w:r>
        <w:rPr>
          <w:rFonts w:ascii="Times New Roman" w:hAnsi="Times New Roman"/>
          <w:i/>
          <w:sz w:val="24"/>
          <w:szCs w:val="24"/>
          <w:lang w:val="en-US"/>
        </w:rPr>
        <w:t xml:space="preserve">implicated in </w:t>
      </w:r>
      <w:r w:rsidRPr="00B0617D">
        <w:rPr>
          <w:rFonts w:ascii="Times New Roman" w:hAnsi="Times New Roman"/>
          <w:i/>
          <w:sz w:val="24"/>
          <w:szCs w:val="24"/>
          <w:lang w:val="en-US"/>
        </w:rPr>
        <w:t>similar strategies of violent confrontation with established authorities in the pursuit of anti-system goals</w:t>
      </w:r>
      <w:r w:rsidR="007A74FD">
        <w:rPr>
          <w:rFonts w:ascii="Times New Roman" w:hAnsi="Times New Roman"/>
          <w:i/>
          <w:sz w:val="24"/>
          <w:szCs w:val="24"/>
          <w:lang w:val="en-US"/>
        </w:rPr>
        <w:t xml:space="preserve"> receive different treatment a) at different times and b) in </w:t>
      </w:r>
      <w:r w:rsidRPr="00B0617D">
        <w:rPr>
          <w:rFonts w:ascii="Times New Roman" w:hAnsi="Times New Roman"/>
          <w:i/>
          <w:sz w:val="24"/>
          <w:szCs w:val="24"/>
          <w:lang w:val="en-US"/>
        </w:rPr>
        <w:t xml:space="preserve">different states? </w:t>
      </w:r>
    </w:p>
    <w:p w:rsidR="0021746F" w:rsidRDefault="0021746F" w:rsidP="00FE609C">
      <w:pPr>
        <w:pStyle w:val="ListParagraph"/>
        <w:spacing w:line="360" w:lineRule="auto"/>
        <w:ind w:left="0"/>
        <w:rPr>
          <w:rFonts w:ascii="Times New Roman" w:hAnsi="Times New Roman"/>
          <w:i/>
          <w:sz w:val="24"/>
          <w:szCs w:val="24"/>
          <w:lang w:val="en-US"/>
        </w:rPr>
      </w:pPr>
    </w:p>
    <w:p w:rsidR="0021746F" w:rsidRDefault="0021746F" w:rsidP="00FE609C">
      <w:pPr>
        <w:pStyle w:val="ListParagraph"/>
        <w:spacing w:line="360" w:lineRule="auto"/>
        <w:ind w:left="0"/>
        <w:rPr>
          <w:rFonts w:ascii="Times New Roman" w:hAnsi="Times New Roman"/>
          <w:sz w:val="24"/>
          <w:szCs w:val="24"/>
        </w:rPr>
      </w:pPr>
      <w:r w:rsidRPr="00B0617D">
        <w:rPr>
          <w:rFonts w:ascii="Times New Roman" w:hAnsi="Times New Roman"/>
          <w:sz w:val="24"/>
          <w:szCs w:val="24"/>
          <w:lang w:val="en-US"/>
        </w:rPr>
        <w:t>However, this research question also sheds light on the principal question posed in a broader comparative research project examining rationales for the proscription of various types of political parties, including far right, communist,  minority nationalist, separatist and Islamist parties in democratic, democratizing and semi-democratic regimes (Bourne 2011a, Bourne 2011b, Bourne 2012). The broader research project examines the validity of hypotheses generated from existing, mostly descriptive studies of individual party bans</w:t>
      </w:r>
      <w:r>
        <w:rPr>
          <w:rFonts w:ascii="Times New Roman" w:hAnsi="Times New Roman"/>
          <w:sz w:val="24"/>
          <w:szCs w:val="24"/>
          <w:lang w:val="en-US"/>
        </w:rPr>
        <w:t xml:space="preserve">. One of the hypotheses is that </w:t>
      </w:r>
      <w:r w:rsidRPr="00B0617D">
        <w:rPr>
          <w:rFonts w:ascii="Times New Roman" w:hAnsi="Times New Roman"/>
          <w:sz w:val="24"/>
          <w:szCs w:val="24"/>
          <w:lang w:val="en-US"/>
        </w:rPr>
        <w:t>democracies ban anti-system parties that do not unambiguously reject violence</w:t>
      </w:r>
      <w:r>
        <w:rPr>
          <w:rFonts w:ascii="Times New Roman" w:hAnsi="Times New Roman"/>
          <w:sz w:val="24"/>
          <w:szCs w:val="24"/>
          <w:lang w:val="en-US"/>
        </w:rPr>
        <w:t>.</w:t>
      </w:r>
      <w:r w:rsidRPr="00E72A5F">
        <w:rPr>
          <w:rFonts w:ascii="Times New Roman" w:hAnsi="Times New Roman"/>
          <w:sz w:val="24"/>
          <w:szCs w:val="24"/>
        </w:rPr>
        <w:t xml:space="preserve"> </w:t>
      </w:r>
    </w:p>
    <w:p w:rsidR="0021746F" w:rsidRDefault="0021746F" w:rsidP="00E72A5F">
      <w:pPr>
        <w:spacing w:before="100" w:beforeAutospacing="1" w:after="100" w:afterAutospacing="1" w:line="360" w:lineRule="auto"/>
        <w:rPr>
          <w:rFonts w:ascii="Times New Roman" w:hAnsi="Times New Roman"/>
          <w:sz w:val="24"/>
          <w:szCs w:val="24"/>
        </w:rPr>
      </w:pPr>
      <w:r w:rsidRPr="003A3262">
        <w:rPr>
          <w:rFonts w:ascii="Times New Roman" w:hAnsi="Times New Roman"/>
          <w:sz w:val="24"/>
          <w:szCs w:val="24"/>
        </w:rPr>
        <w:lastRenderedPageBreak/>
        <w:t xml:space="preserve">Comparative </w:t>
      </w:r>
      <w:r>
        <w:rPr>
          <w:rFonts w:ascii="Times New Roman" w:hAnsi="Times New Roman"/>
          <w:sz w:val="24"/>
          <w:szCs w:val="24"/>
        </w:rPr>
        <w:t xml:space="preserve">research on </w:t>
      </w:r>
      <w:r w:rsidRPr="003A3262">
        <w:rPr>
          <w:rFonts w:ascii="Times New Roman" w:hAnsi="Times New Roman"/>
          <w:sz w:val="24"/>
          <w:szCs w:val="24"/>
        </w:rPr>
        <w:t xml:space="preserve">the grounds for proscription </w:t>
      </w:r>
      <w:r>
        <w:rPr>
          <w:rFonts w:ascii="Times New Roman" w:hAnsi="Times New Roman"/>
          <w:sz w:val="24"/>
          <w:szCs w:val="24"/>
        </w:rPr>
        <w:t xml:space="preserve">show violent behaviour </w:t>
      </w:r>
      <w:r w:rsidRPr="003A3262">
        <w:rPr>
          <w:rFonts w:ascii="Times New Roman" w:hAnsi="Times New Roman"/>
          <w:sz w:val="24"/>
          <w:szCs w:val="24"/>
        </w:rPr>
        <w:t xml:space="preserve">is almost always sufficient cause for illegalisation </w:t>
      </w:r>
      <w:r>
        <w:rPr>
          <w:rFonts w:ascii="Times New Roman" w:hAnsi="Times New Roman"/>
          <w:sz w:val="24"/>
          <w:szCs w:val="24"/>
        </w:rPr>
        <w:t xml:space="preserve">(Finn, 2000: </w:t>
      </w:r>
      <w:r w:rsidRPr="003A3262">
        <w:rPr>
          <w:rFonts w:ascii="Times New Roman" w:hAnsi="Times New Roman"/>
          <w:sz w:val="24"/>
          <w:szCs w:val="24"/>
        </w:rPr>
        <w:t>60-1)</w:t>
      </w:r>
      <w:r>
        <w:rPr>
          <w:rFonts w:ascii="Times New Roman" w:hAnsi="Times New Roman"/>
          <w:sz w:val="24"/>
          <w:szCs w:val="24"/>
        </w:rPr>
        <w:t>.</w:t>
      </w:r>
      <w:r w:rsidRPr="003A3262">
        <w:rPr>
          <w:rFonts w:ascii="Times New Roman" w:hAnsi="Times New Roman"/>
          <w:sz w:val="24"/>
          <w:szCs w:val="24"/>
        </w:rPr>
        <w:t xml:space="preserve"> Obvious examples of parties banned because of their involvement in acts of violence, or perceived links to those who commit (or previously committed) acts of political violence</w:t>
      </w:r>
      <w:r>
        <w:rPr>
          <w:rFonts w:ascii="Times New Roman" w:hAnsi="Times New Roman"/>
          <w:sz w:val="24"/>
          <w:szCs w:val="24"/>
        </w:rPr>
        <w:t>,</w:t>
      </w:r>
      <w:r w:rsidRPr="003A3262">
        <w:rPr>
          <w:rFonts w:ascii="Times New Roman" w:hAnsi="Times New Roman"/>
          <w:sz w:val="24"/>
          <w:szCs w:val="24"/>
        </w:rPr>
        <w:t xml:space="preserve"> include former fascist parties banned in </w:t>
      </w:r>
      <w:smartTag w:uri="urn:schemas-microsoft-com:office:smarttags" w:element="country-region">
        <w:r w:rsidRPr="003A3262">
          <w:rPr>
            <w:rFonts w:ascii="Times New Roman" w:hAnsi="Times New Roman"/>
            <w:sz w:val="24"/>
            <w:szCs w:val="24"/>
          </w:rPr>
          <w:t>Germany</w:t>
        </w:r>
      </w:smartTag>
      <w:r w:rsidRPr="003A3262">
        <w:rPr>
          <w:rFonts w:ascii="Times New Roman" w:hAnsi="Times New Roman"/>
          <w:sz w:val="24"/>
          <w:szCs w:val="24"/>
        </w:rPr>
        <w:t xml:space="preserve">, </w:t>
      </w:r>
      <w:smartTag w:uri="urn:schemas-microsoft-com:office:smarttags" w:element="country-region">
        <w:r w:rsidRPr="003A3262">
          <w:rPr>
            <w:rFonts w:ascii="Times New Roman" w:hAnsi="Times New Roman"/>
            <w:sz w:val="24"/>
            <w:szCs w:val="24"/>
          </w:rPr>
          <w:t>Austria</w:t>
        </w:r>
      </w:smartTag>
      <w:r w:rsidRPr="003A3262">
        <w:rPr>
          <w:rFonts w:ascii="Times New Roman" w:hAnsi="Times New Roman"/>
          <w:sz w:val="24"/>
          <w:szCs w:val="24"/>
        </w:rPr>
        <w:t xml:space="preserve"> and </w:t>
      </w:r>
      <w:smartTag w:uri="urn:schemas-microsoft-com:office:smarttags" w:element="country-region">
        <w:smartTag w:uri="urn:schemas-microsoft-com:office:smarttags" w:element="place">
          <w:r w:rsidRPr="003A3262">
            <w:rPr>
              <w:rFonts w:ascii="Times New Roman" w:hAnsi="Times New Roman"/>
              <w:sz w:val="24"/>
              <w:szCs w:val="24"/>
            </w:rPr>
            <w:t>Italy</w:t>
          </w:r>
        </w:smartTag>
      </w:smartTag>
      <w:r w:rsidRPr="003A3262">
        <w:rPr>
          <w:rFonts w:ascii="Times New Roman" w:hAnsi="Times New Roman"/>
          <w:sz w:val="24"/>
          <w:szCs w:val="24"/>
        </w:rPr>
        <w:t xml:space="preserve"> after the end of World War Two</w:t>
      </w:r>
      <w:r>
        <w:rPr>
          <w:rFonts w:ascii="Times New Roman" w:hAnsi="Times New Roman"/>
          <w:sz w:val="24"/>
          <w:szCs w:val="24"/>
        </w:rPr>
        <w:t xml:space="preserve">. </w:t>
      </w:r>
      <w:r w:rsidRPr="003A3262">
        <w:rPr>
          <w:rFonts w:ascii="Times New Roman" w:hAnsi="Times New Roman"/>
          <w:sz w:val="24"/>
          <w:szCs w:val="24"/>
        </w:rPr>
        <w:t>The National Democratic Party (</w:t>
      </w:r>
      <w:smartTag w:uri="urn:schemas-microsoft-com:office:smarttags" w:element="country-region">
        <w:r w:rsidRPr="003A3262">
          <w:rPr>
            <w:rFonts w:ascii="Times New Roman" w:hAnsi="Times New Roman"/>
            <w:sz w:val="24"/>
            <w:szCs w:val="24"/>
          </w:rPr>
          <w:t>Austria</w:t>
        </w:r>
      </w:smartTag>
      <w:r w:rsidRPr="003A3262">
        <w:rPr>
          <w:rFonts w:ascii="Times New Roman" w:hAnsi="Times New Roman"/>
          <w:sz w:val="24"/>
          <w:szCs w:val="24"/>
        </w:rPr>
        <w:t xml:space="preserve">) was banned for reactivating national socialist ideas, but also conducted a terrorist campaign pursuing the return of the predominantly German-speaking region of South Tirol to </w:t>
      </w:r>
      <w:smartTag w:uri="urn:schemas-microsoft-com:office:smarttags" w:element="country-region">
        <w:smartTag w:uri="urn:schemas-microsoft-com:office:smarttags" w:element="place">
          <w:r w:rsidRPr="003A3262">
            <w:rPr>
              <w:rFonts w:ascii="Times New Roman" w:hAnsi="Times New Roman"/>
              <w:sz w:val="24"/>
              <w:szCs w:val="24"/>
            </w:rPr>
            <w:t>Austria</w:t>
          </w:r>
        </w:smartTag>
      </w:smartTag>
      <w:r>
        <w:rPr>
          <w:rFonts w:ascii="Times New Roman" w:hAnsi="Times New Roman"/>
          <w:sz w:val="24"/>
          <w:szCs w:val="24"/>
        </w:rPr>
        <w:t xml:space="preserve"> (</w:t>
      </w:r>
      <w:proofErr w:type="spellStart"/>
      <w:r>
        <w:rPr>
          <w:rFonts w:ascii="Times New Roman" w:hAnsi="Times New Roman"/>
          <w:sz w:val="24"/>
          <w:szCs w:val="24"/>
        </w:rPr>
        <w:t>Degenhardt</w:t>
      </w:r>
      <w:proofErr w:type="spellEnd"/>
      <w:r>
        <w:rPr>
          <w:rFonts w:ascii="Times New Roman" w:hAnsi="Times New Roman"/>
          <w:sz w:val="24"/>
          <w:szCs w:val="24"/>
        </w:rPr>
        <w:t>, 1983: 402, 455).</w:t>
      </w:r>
      <w:r w:rsidRPr="003A3262">
        <w:rPr>
          <w:rFonts w:ascii="Times New Roman" w:hAnsi="Times New Roman"/>
          <w:sz w:val="24"/>
          <w:szCs w:val="24"/>
        </w:rPr>
        <w:t xml:space="preserve"> The Communist Party of the Soviet Union/Russia was (partially) banned for being an accomplice in the 1991 August coup attempt against Soviet President Mikhail </w:t>
      </w:r>
      <w:r w:rsidRPr="00941502">
        <w:rPr>
          <w:rFonts w:ascii="Times New Roman" w:hAnsi="Times New Roman"/>
          <w:sz w:val="24"/>
          <w:szCs w:val="24"/>
        </w:rPr>
        <w:t>Gorbachev (</w:t>
      </w:r>
      <w:proofErr w:type="spellStart"/>
      <w:r w:rsidRPr="00941502">
        <w:rPr>
          <w:rFonts w:ascii="Times New Roman" w:hAnsi="Times New Roman"/>
          <w:sz w:val="24"/>
          <w:szCs w:val="24"/>
        </w:rPr>
        <w:t>Feofanov</w:t>
      </w:r>
      <w:proofErr w:type="spellEnd"/>
      <w:r w:rsidRPr="00941502">
        <w:rPr>
          <w:rFonts w:ascii="Times New Roman" w:hAnsi="Times New Roman"/>
          <w:sz w:val="24"/>
          <w:szCs w:val="24"/>
        </w:rPr>
        <w:t>, 1993</w:t>
      </w:r>
      <w:r>
        <w:rPr>
          <w:rFonts w:ascii="Times New Roman" w:hAnsi="Times New Roman"/>
          <w:sz w:val="24"/>
          <w:szCs w:val="24"/>
        </w:rPr>
        <w:t>:</w:t>
      </w:r>
      <w:r w:rsidRPr="00941502">
        <w:rPr>
          <w:rFonts w:ascii="Times New Roman" w:hAnsi="Times New Roman"/>
          <w:sz w:val="24"/>
          <w:szCs w:val="24"/>
        </w:rPr>
        <w:t xml:space="preserve"> 637).</w:t>
      </w:r>
      <w:r w:rsidRPr="003A3262">
        <w:rPr>
          <w:rFonts w:ascii="Times New Roman" w:hAnsi="Times New Roman"/>
          <w:sz w:val="24"/>
          <w:szCs w:val="24"/>
        </w:rPr>
        <w:t xml:space="preserve"> The Communist Party of Latvia was also banned for supporting the August 1991 coup against Gorbachev and involvement in an unsuccessful coup attempt against the pro-independence Latvian government and </w:t>
      </w:r>
      <w:r w:rsidRPr="00941502">
        <w:rPr>
          <w:rFonts w:ascii="Times New Roman" w:hAnsi="Times New Roman"/>
          <w:sz w:val="24"/>
          <w:szCs w:val="24"/>
        </w:rPr>
        <w:t>legislature</w:t>
      </w:r>
      <w:r w:rsidRPr="003A3262">
        <w:rPr>
          <w:rFonts w:ascii="Times New Roman" w:hAnsi="Times New Roman"/>
          <w:sz w:val="24"/>
          <w:szCs w:val="24"/>
        </w:rPr>
        <w:t>.</w:t>
      </w:r>
      <w:r>
        <w:rPr>
          <w:rStyle w:val="FootnoteReference"/>
          <w:sz w:val="24"/>
          <w:szCs w:val="24"/>
        </w:rPr>
        <w:footnoteReference w:id="1"/>
      </w:r>
      <w:r w:rsidRPr="003A3262">
        <w:rPr>
          <w:rFonts w:ascii="Times New Roman" w:hAnsi="Times New Roman"/>
          <w:sz w:val="24"/>
          <w:szCs w:val="24"/>
        </w:rPr>
        <w:t xml:space="preserve"> </w:t>
      </w:r>
      <w:r>
        <w:rPr>
          <w:rFonts w:ascii="Times New Roman" w:hAnsi="Times New Roman"/>
          <w:sz w:val="24"/>
          <w:szCs w:val="24"/>
        </w:rPr>
        <w:t xml:space="preserve"> </w:t>
      </w:r>
      <w:r w:rsidRPr="003A3262">
        <w:rPr>
          <w:rFonts w:ascii="Times New Roman" w:hAnsi="Times New Roman"/>
          <w:sz w:val="24"/>
          <w:szCs w:val="24"/>
        </w:rPr>
        <w:t xml:space="preserve">In 2003, </w:t>
      </w:r>
      <w:smartTag w:uri="urn:schemas-microsoft-com:office:smarttags" w:element="country-region">
        <w:smartTag w:uri="urn:schemas-microsoft-com:office:smarttags" w:element="place">
          <w:r w:rsidRPr="003A3262">
            <w:rPr>
              <w:rFonts w:ascii="Times New Roman" w:hAnsi="Times New Roman"/>
              <w:sz w:val="24"/>
              <w:szCs w:val="24"/>
            </w:rPr>
            <w:t>Turkey</w:t>
          </w:r>
        </w:smartTag>
      </w:smartTag>
      <w:r w:rsidRPr="003A3262">
        <w:rPr>
          <w:rFonts w:ascii="Times New Roman" w:hAnsi="Times New Roman"/>
          <w:sz w:val="24"/>
          <w:szCs w:val="24"/>
        </w:rPr>
        <w:t>’</w:t>
      </w:r>
      <w:r>
        <w:rPr>
          <w:rFonts w:ascii="Times New Roman" w:hAnsi="Times New Roman"/>
          <w:sz w:val="24"/>
          <w:szCs w:val="24"/>
        </w:rPr>
        <w:t xml:space="preserve">s </w:t>
      </w:r>
      <w:smartTag w:uri="urn:schemas-microsoft-com:office:smarttags" w:element="address">
        <w:smartTag w:uri="urn:schemas-microsoft-com:office:smarttags" w:element="Street">
          <w:r>
            <w:rPr>
              <w:rFonts w:ascii="Times New Roman" w:hAnsi="Times New Roman"/>
              <w:sz w:val="24"/>
              <w:szCs w:val="24"/>
            </w:rPr>
            <w:t>C</w:t>
          </w:r>
          <w:r w:rsidRPr="003A3262">
            <w:rPr>
              <w:rFonts w:ascii="Times New Roman" w:hAnsi="Times New Roman"/>
              <w:sz w:val="24"/>
              <w:szCs w:val="24"/>
            </w:rPr>
            <w:t xml:space="preserve">onstitutional </w:t>
          </w:r>
          <w:r>
            <w:rPr>
              <w:rFonts w:ascii="Times New Roman" w:hAnsi="Times New Roman"/>
              <w:sz w:val="24"/>
              <w:szCs w:val="24"/>
            </w:rPr>
            <w:t>C</w:t>
          </w:r>
          <w:r w:rsidRPr="003A3262">
            <w:rPr>
              <w:rFonts w:ascii="Times New Roman" w:hAnsi="Times New Roman"/>
              <w:sz w:val="24"/>
              <w:szCs w:val="24"/>
            </w:rPr>
            <w:t>ourt</w:t>
          </w:r>
        </w:smartTag>
      </w:smartTag>
      <w:r w:rsidRPr="003A3262">
        <w:rPr>
          <w:rFonts w:ascii="Times New Roman" w:hAnsi="Times New Roman"/>
          <w:sz w:val="24"/>
          <w:szCs w:val="24"/>
        </w:rPr>
        <w:t xml:space="preserve"> banned the only legal Kurdish party, the People’s Democracy Party claiming it had links with the militant separatist Kurdistan Workers Party</w:t>
      </w:r>
      <w:r>
        <w:rPr>
          <w:rFonts w:ascii="Times New Roman" w:hAnsi="Times New Roman"/>
          <w:sz w:val="24"/>
          <w:szCs w:val="24"/>
        </w:rPr>
        <w:t xml:space="preserve"> (</w:t>
      </w:r>
      <w:proofErr w:type="spellStart"/>
      <w:r>
        <w:rPr>
          <w:rFonts w:ascii="Times New Roman" w:hAnsi="Times New Roman"/>
          <w:sz w:val="24"/>
          <w:szCs w:val="24"/>
        </w:rPr>
        <w:t>Güney</w:t>
      </w:r>
      <w:proofErr w:type="spellEnd"/>
      <w:r>
        <w:rPr>
          <w:rFonts w:ascii="Times New Roman" w:hAnsi="Times New Roman"/>
          <w:sz w:val="24"/>
          <w:szCs w:val="24"/>
        </w:rPr>
        <w:t xml:space="preserve"> and </w:t>
      </w:r>
      <w:proofErr w:type="spellStart"/>
      <w:r>
        <w:rPr>
          <w:rFonts w:ascii="Times New Roman" w:hAnsi="Times New Roman"/>
          <w:sz w:val="24"/>
          <w:szCs w:val="24"/>
        </w:rPr>
        <w:t>Başkan</w:t>
      </w:r>
      <w:proofErr w:type="spellEnd"/>
      <w:r>
        <w:rPr>
          <w:rFonts w:ascii="Times New Roman" w:hAnsi="Times New Roman"/>
          <w:sz w:val="24"/>
          <w:szCs w:val="24"/>
        </w:rPr>
        <w:t>, 2008: 275)</w:t>
      </w:r>
      <w:r w:rsidRPr="003A3262">
        <w:rPr>
          <w:rFonts w:ascii="Times New Roman" w:hAnsi="Times New Roman"/>
          <w:sz w:val="24"/>
          <w:szCs w:val="24"/>
        </w:rPr>
        <w:t>.</w:t>
      </w:r>
    </w:p>
    <w:p w:rsidR="0021746F" w:rsidRDefault="0021746F" w:rsidP="00E72A5F">
      <w:pPr>
        <w:spacing w:before="100" w:beforeAutospacing="1" w:after="100" w:afterAutospacing="1" w:line="360" w:lineRule="auto"/>
        <w:rPr>
          <w:rFonts w:ascii="Times New Roman" w:hAnsi="Times New Roman"/>
          <w:sz w:val="24"/>
          <w:szCs w:val="24"/>
        </w:rPr>
      </w:pPr>
      <w:r>
        <w:rPr>
          <w:rFonts w:ascii="Times New Roman" w:hAnsi="Times New Roman"/>
          <w:sz w:val="24"/>
          <w:szCs w:val="24"/>
        </w:rPr>
        <w:t>S</w:t>
      </w:r>
      <w:r w:rsidRPr="00941502">
        <w:rPr>
          <w:rFonts w:ascii="Times New Roman" w:hAnsi="Times New Roman"/>
          <w:sz w:val="24"/>
          <w:szCs w:val="24"/>
        </w:rPr>
        <w:t xml:space="preserve">omething less than direct or indirect implication in violent acts has been grounds for proscription </w:t>
      </w:r>
      <w:r>
        <w:rPr>
          <w:rFonts w:ascii="Times New Roman" w:hAnsi="Times New Roman"/>
          <w:sz w:val="24"/>
          <w:szCs w:val="24"/>
        </w:rPr>
        <w:t xml:space="preserve">in other cases, </w:t>
      </w:r>
      <w:r w:rsidRPr="00941502">
        <w:rPr>
          <w:rFonts w:ascii="Times New Roman" w:hAnsi="Times New Roman"/>
          <w:sz w:val="24"/>
          <w:szCs w:val="24"/>
        </w:rPr>
        <w:t>including advocacy of certain kinds of anti-democratic ideology (Finn, 2000</w:t>
      </w:r>
      <w:r>
        <w:rPr>
          <w:rFonts w:ascii="Times New Roman" w:hAnsi="Times New Roman"/>
          <w:sz w:val="24"/>
          <w:szCs w:val="24"/>
        </w:rPr>
        <w:t>:</w:t>
      </w:r>
      <w:r w:rsidRPr="00941502">
        <w:rPr>
          <w:rFonts w:ascii="Times New Roman" w:hAnsi="Times New Roman"/>
          <w:sz w:val="24"/>
          <w:szCs w:val="24"/>
        </w:rPr>
        <w:t xml:space="preserve"> 60-1). The Socialist Reich Party and the Communist Party of Germany were banned in the Federal Republic of Germany </w:t>
      </w:r>
      <w:r>
        <w:rPr>
          <w:rFonts w:ascii="Times New Roman" w:hAnsi="Times New Roman"/>
          <w:sz w:val="24"/>
          <w:szCs w:val="24"/>
        </w:rPr>
        <w:t xml:space="preserve">in, respectively, </w:t>
      </w:r>
      <w:r w:rsidRPr="00941502">
        <w:rPr>
          <w:rFonts w:ascii="Times New Roman" w:hAnsi="Times New Roman"/>
          <w:sz w:val="24"/>
          <w:szCs w:val="24"/>
        </w:rPr>
        <w:t>1952 and 1956</w:t>
      </w:r>
      <w:r>
        <w:rPr>
          <w:rFonts w:ascii="Times New Roman" w:hAnsi="Times New Roman"/>
          <w:sz w:val="24"/>
          <w:szCs w:val="24"/>
        </w:rPr>
        <w:t>,</w:t>
      </w:r>
      <w:r w:rsidRPr="00941502">
        <w:rPr>
          <w:rFonts w:ascii="Times New Roman" w:hAnsi="Times New Roman"/>
          <w:sz w:val="24"/>
          <w:szCs w:val="24"/>
        </w:rPr>
        <w:t xml:space="preserve"> even though they did not pose a clear and present danger to the democratic system (ibid, </w:t>
      </w:r>
      <w:proofErr w:type="spellStart"/>
      <w:r w:rsidRPr="00941502">
        <w:rPr>
          <w:rFonts w:ascii="Times New Roman" w:hAnsi="Times New Roman"/>
          <w:sz w:val="24"/>
          <w:szCs w:val="24"/>
        </w:rPr>
        <w:t>Kirchheimer</w:t>
      </w:r>
      <w:proofErr w:type="spellEnd"/>
      <w:r w:rsidRPr="00941502">
        <w:rPr>
          <w:rFonts w:ascii="Times New Roman" w:hAnsi="Times New Roman"/>
          <w:sz w:val="24"/>
          <w:szCs w:val="24"/>
        </w:rPr>
        <w:t>, 1961</w:t>
      </w:r>
      <w:r>
        <w:rPr>
          <w:rFonts w:ascii="Times New Roman" w:hAnsi="Times New Roman"/>
          <w:sz w:val="24"/>
          <w:szCs w:val="24"/>
        </w:rPr>
        <w:t>:</w:t>
      </w:r>
      <w:r w:rsidRPr="00941502">
        <w:rPr>
          <w:rFonts w:ascii="Times New Roman" w:hAnsi="Times New Roman"/>
          <w:sz w:val="24"/>
          <w:szCs w:val="24"/>
        </w:rPr>
        <w:t xml:space="preserve"> 151).  </w:t>
      </w:r>
      <w:r>
        <w:rPr>
          <w:rFonts w:ascii="Times New Roman" w:hAnsi="Times New Roman"/>
          <w:sz w:val="24"/>
          <w:szCs w:val="24"/>
        </w:rPr>
        <w:t xml:space="preserve">However, the German parties, and others banned for anti-democratic ideas, have espoused ideologies linked with preferences for </w:t>
      </w:r>
      <w:r w:rsidRPr="003A3262">
        <w:rPr>
          <w:rFonts w:ascii="Times New Roman" w:hAnsi="Times New Roman"/>
          <w:sz w:val="24"/>
          <w:szCs w:val="24"/>
        </w:rPr>
        <w:t xml:space="preserve">revolutionary struggle, terrorism, militarism and the glorification of violence, which </w:t>
      </w:r>
      <w:r>
        <w:rPr>
          <w:rFonts w:ascii="Times New Roman" w:hAnsi="Times New Roman"/>
          <w:sz w:val="24"/>
          <w:szCs w:val="24"/>
        </w:rPr>
        <w:t xml:space="preserve">may sometimes amount to </w:t>
      </w:r>
      <w:r w:rsidRPr="003A3262">
        <w:rPr>
          <w:rFonts w:ascii="Times New Roman" w:hAnsi="Times New Roman"/>
          <w:sz w:val="24"/>
          <w:szCs w:val="24"/>
        </w:rPr>
        <w:t xml:space="preserve">support for, or at best ambiguity over, the appropriateness of violent political struggle. </w:t>
      </w:r>
    </w:p>
    <w:p w:rsidR="0021746F" w:rsidRPr="00E72A5F" w:rsidRDefault="0021746F" w:rsidP="00E72A5F">
      <w:pPr>
        <w:spacing w:before="100" w:beforeAutospacing="1" w:after="100" w:afterAutospacing="1" w:line="360" w:lineRule="auto"/>
        <w:rPr>
          <w:rFonts w:ascii="Times New Roman" w:hAnsi="Times New Roman"/>
          <w:sz w:val="24"/>
          <w:szCs w:val="24"/>
          <w:lang w:val="en-US"/>
        </w:rPr>
      </w:pPr>
      <w:r w:rsidRPr="00B0617D">
        <w:rPr>
          <w:rFonts w:ascii="Times New Roman" w:hAnsi="Times New Roman"/>
          <w:sz w:val="24"/>
          <w:szCs w:val="24"/>
          <w:lang w:val="en-US"/>
        </w:rPr>
        <w:t xml:space="preserve">As it should already be clear, however, the hypothesis that democracies ban anti-system parties that do not unambiguously reject violence is problematic in the two cases I examine here: both </w:t>
      </w:r>
      <w:proofErr w:type="spellStart"/>
      <w:r w:rsidRPr="00B0617D">
        <w:rPr>
          <w:rFonts w:ascii="Times New Roman" w:hAnsi="Times New Roman"/>
          <w:i/>
          <w:sz w:val="24"/>
          <w:szCs w:val="24"/>
          <w:lang w:val="en-US"/>
        </w:rPr>
        <w:t>Batasuna</w:t>
      </w:r>
      <w:proofErr w:type="spellEnd"/>
      <w:r w:rsidRPr="00B0617D">
        <w:rPr>
          <w:rFonts w:ascii="Times New Roman" w:hAnsi="Times New Roman"/>
          <w:sz w:val="24"/>
          <w:szCs w:val="24"/>
          <w:lang w:val="en-US"/>
        </w:rPr>
        <w:t xml:space="preserve"> (or its successors) and </w:t>
      </w:r>
      <w:r w:rsidRPr="00B0617D">
        <w:rPr>
          <w:rFonts w:ascii="Times New Roman" w:hAnsi="Times New Roman"/>
          <w:i/>
          <w:sz w:val="24"/>
          <w:szCs w:val="24"/>
          <w:lang w:val="en-US"/>
        </w:rPr>
        <w:t xml:space="preserve">Sinn </w:t>
      </w:r>
      <w:proofErr w:type="spellStart"/>
      <w:r w:rsidRPr="00B0617D">
        <w:rPr>
          <w:rFonts w:ascii="Times New Roman" w:hAnsi="Times New Roman"/>
          <w:i/>
          <w:sz w:val="24"/>
          <w:szCs w:val="24"/>
          <w:lang w:val="en-US"/>
        </w:rPr>
        <w:t>Féin</w:t>
      </w:r>
      <w:proofErr w:type="spellEnd"/>
      <w:r w:rsidRPr="00B0617D">
        <w:rPr>
          <w:rFonts w:ascii="Times New Roman" w:hAnsi="Times New Roman"/>
          <w:sz w:val="24"/>
          <w:szCs w:val="24"/>
          <w:lang w:val="en-US"/>
        </w:rPr>
        <w:t xml:space="preserve"> enjoyed periods of legality despite their implication in strategies of violent confrontation with established authorities in the pursuit of anti-system goals.</w:t>
      </w:r>
      <w:r w:rsidRPr="00B0617D">
        <w:rPr>
          <w:rFonts w:ascii="Times New Roman" w:hAnsi="Times New Roman"/>
          <w:i/>
          <w:sz w:val="24"/>
          <w:szCs w:val="24"/>
          <w:lang w:val="en-US"/>
        </w:rPr>
        <w:t xml:space="preserve"> </w:t>
      </w:r>
      <w:r>
        <w:rPr>
          <w:rFonts w:ascii="Times New Roman" w:hAnsi="Times New Roman"/>
          <w:sz w:val="24"/>
          <w:szCs w:val="24"/>
          <w:lang w:val="en-US"/>
        </w:rPr>
        <w:t xml:space="preserve">The second objective of this paper, then, is to explore why these latter two cases differ from the more general </w:t>
      </w:r>
      <w:r>
        <w:rPr>
          <w:rFonts w:ascii="Times New Roman" w:hAnsi="Times New Roman"/>
          <w:sz w:val="24"/>
          <w:szCs w:val="24"/>
          <w:lang w:val="en-US"/>
        </w:rPr>
        <w:lastRenderedPageBreak/>
        <w:t xml:space="preserve">pattern by which democracies ban political parties that do not clearly reject violence to achieve political ends.  </w:t>
      </w:r>
    </w:p>
    <w:p w:rsidR="0021746F" w:rsidRDefault="0021746F" w:rsidP="008B2984">
      <w:pPr>
        <w:pStyle w:val="ListParagraph"/>
        <w:spacing w:line="360" w:lineRule="auto"/>
        <w:ind w:left="0"/>
        <w:rPr>
          <w:rFonts w:ascii="Times New Roman" w:hAnsi="Times New Roman"/>
          <w:sz w:val="24"/>
          <w:szCs w:val="24"/>
          <w:lang w:val="en-US"/>
        </w:rPr>
      </w:pPr>
      <w:r w:rsidRPr="00B0617D">
        <w:rPr>
          <w:rFonts w:ascii="Times New Roman" w:hAnsi="Times New Roman"/>
          <w:sz w:val="24"/>
          <w:szCs w:val="24"/>
          <w:lang w:val="en-US"/>
        </w:rPr>
        <w:t xml:space="preserve">The research question posed - </w:t>
      </w:r>
      <w:r w:rsidR="007A74FD" w:rsidRPr="00B0617D">
        <w:rPr>
          <w:rFonts w:ascii="Times New Roman" w:hAnsi="Times New Roman"/>
          <w:i/>
          <w:sz w:val="24"/>
          <w:szCs w:val="24"/>
          <w:lang w:val="en-US"/>
        </w:rPr>
        <w:t xml:space="preserve">why do parties </w:t>
      </w:r>
      <w:r w:rsidR="007A74FD">
        <w:rPr>
          <w:rFonts w:ascii="Times New Roman" w:hAnsi="Times New Roman"/>
          <w:i/>
          <w:sz w:val="24"/>
          <w:szCs w:val="24"/>
          <w:lang w:val="en-US"/>
        </w:rPr>
        <w:t xml:space="preserve">implicated in </w:t>
      </w:r>
      <w:r w:rsidR="007A74FD" w:rsidRPr="00B0617D">
        <w:rPr>
          <w:rFonts w:ascii="Times New Roman" w:hAnsi="Times New Roman"/>
          <w:i/>
          <w:sz w:val="24"/>
          <w:szCs w:val="24"/>
          <w:lang w:val="en-US"/>
        </w:rPr>
        <w:t xml:space="preserve">similar strategies of violent confrontation with established authorities in the pursuit of anti-system goals receive different treatment </w:t>
      </w:r>
      <w:r w:rsidR="007A74FD">
        <w:rPr>
          <w:rFonts w:ascii="Times New Roman" w:hAnsi="Times New Roman"/>
          <w:i/>
          <w:sz w:val="24"/>
          <w:szCs w:val="24"/>
          <w:lang w:val="en-US"/>
        </w:rPr>
        <w:t xml:space="preserve">a) at different times and b) </w:t>
      </w:r>
      <w:r w:rsidR="007A74FD" w:rsidRPr="00B0617D">
        <w:rPr>
          <w:rFonts w:ascii="Times New Roman" w:hAnsi="Times New Roman"/>
          <w:i/>
          <w:sz w:val="24"/>
          <w:szCs w:val="24"/>
          <w:lang w:val="en-US"/>
        </w:rPr>
        <w:t>in the different states</w:t>
      </w:r>
      <w:r w:rsidR="007A74FD">
        <w:rPr>
          <w:rFonts w:ascii="Times New Roman" w:hAnsi="Times New Roman"/>
          <w:i/>
          <w:sz w:val="24"/>
          <w:szCs w:val="24"/>
          <w:lang w:val="en-US"/>
        </w:rPr>
        <w:t xml:space="preserve"> -</w:t>
      </w:r>
      <w:r w:rsidRPr="00B0617D">
        <w:rPr>
          <w:rFonts w:ascii="Times New Roman" w:hAnsi="Times New Roman"/>
          <w:sz w:val="24"/>
          <w:szCs w:val="24"/>
          <w:lang w:val="en-US"/>
        </w:rPr>
        <w:t xml:space="preserve"> lends itself to a ‘most similar system’ comparative research design (</w:t>
      </w:r>
      <w:proofErr w:type="spellStart"/>
      <w:r w:rsidRPr="00B0617D">
        <w:rPr>
          <w:rFonts w:ascii="Times New Roman" w:hAnsi="Times New Roman"/>
          <w:sz w:val="24"/>
          <w:szCs w:val="24"/>
          <w:lang w:val="en-US"/>
        </w:rPr>
        <w:t>Landman</w:t>
      </w:r>
      <w:proofErr w:type="spellEnd"/>
      <w:r w:rsidRPr="00B0617D">
        <w:rPr>
          <w:rFonts w:ascii="Times New Roman" w:hAnsi="Times New Roman"/>
          <w:sz w:val="24"/>
          <w:szCs w:val="24"/>
          <w:lang w:val="en-US"/>
        </w:rPr>
        <w:t xml:space="preserve">, 2007, 72). In this approach, case selection is guided by the need to ‘compare political systems that share a host of common features in an effort to </w:t>
      </w:r>
      <w:proofErr w:type="spellStart"/>
      <w:r w:rsidRPr="00B0617D">
        <w:rPr>
          <w:rFonts w:ascii="Times New Roman" w:hAnsi="Times New Roman"/>
          <w:sz w:val="24"/>
          <w:szCs w:val="24"/>
          <w:lang w:val="en-US"/>
        </w:rPr>
        <w:t>nuetralise</w:t>
      </w:r>
      <w:proofErr w:type="spellEnd"/>
      <w:r w:rsidRPr="00B0617D">
        <w:rPr>
          <w:rFonts w:ascii="Times New Roman" w:hAnsi="Times New Roman"/>
          <w:sz w:val="24"/>
          <w:szCs w:val="24"/>
          <w:lang w:val="en-US"/>
        </w:rPr>
        <w:t xml:space="preserve"> some differences while highlighting others’ (ibid). </w:t>
      </w:r>
      <w:r>
        <w:rPr>
          <w:rFonts w:ascii="Times New Roman" w:hAnsi="Times New Roman"/>
          <w:sz w:val="24"/>
          <w:szCs w:val="24"/>
          <w:lang w:val="en-US"/>
        </w:rPr>
        <w:t xml:space="preserve"> Regarding the two countries examined in this paper, relevant similarities include, first and foremost, the existence of ‘nationalist terrorist’ </w:t>
      </w:r>
      <w:proofErr w:type="spellStart"/>
      <w:r>
        <w:rPr>
          <w:rFonts w:ascii="Times New Roman" w:hAnsi="Times New Roman"/>
          <w:sz w:val="24"/>
          <w:szCs w:val="24"/>
          <w:lang w:val="en-US"/>
        </w:rPr>
        <w:t>organisations</w:t>
      </w:r>
      <w:proofErr w:type="spellEnd"/>
      <w:r>
        <w:rPr>
          <w:rFonts w:ascii="Times New Roman" w:hAnsi="Times New Roman"/>
          <w:sz w:val="24"/>
          <w:szCs w:val="24"/>
          <w:lang w:val="en-US"/>
        </w:rPr>
        <w:t>, namely ETA and the IRA</w:t>
      </w:r>
      <w:r w:rsidR="00622E12">
        <w:rPr>
          <w:rFonts w:ascii="Times New Roman" w:hAnsi="Times New Roman"/>
          <w:sz w:val="24"/>
          <w:szCs w:val="24"/>
          <w:lang w:val="en-US"/>
        </w:rPr>
        <w:t>,</w:t>
      </w:r>
      <w:r>
        <w:rPr>
          <w:rFonts w:ascii="Times New Roman" w:hAnsi="Times New Roman"/>
          <w:sz w:val="24"/>
          <w:szCs w:val="24"/>
          <w:lang w:val="en-US"/>
        </w:rPr>
        <w:t xml:space="preserve"> which pursue independence or greater autonomy for some territory (Sánchez Cuenca, 2007, 284). Strategically, both </w:t>
      </w:r>
      <w:proofErr w:type="spellStart"/>
      <w:r>
        <w:rPr>
          <w:rFonts w:ascii="Times New Roman" w:hAnsi="Times New Roman"/>
          <w:sz w:val="24"/>
          <w:szCs w:val="24"/>
          <w:lang w:val="en-US"/>
        </w:rPr>
        <w:t>organisations</w:t>
      </w:r>
      <w:proofErr w:type="spellEnd"/>
      <w:r>
        <w:rPr>
          <w:rFonts w:ascii="Times New Roman" w:hAnsi="Times New Roman"/>
          <w:sz w:val="24"/>
          <w:szCs w:val="24"/>
          <w:lang w:val="en-US"/>
        </w:rPr>
        <w:t xml:space="preserve"> employed a long-term, low-intensity ‘war of attrition’ with their respective states in which violence was used to reach the ‘resistance threshold of the state, [that is] the point beyond which the state is better off making concessions rather than resisting’ (ibid, 294). Furthermore, both </w:t>
      </w:r>
      <w:proofErr w:type="spellStart"/>
      <w:r>
        <w:rPr>
          <w:rFonts w:ascii="Times New Roman" w:hAnsi="Times New Roman"/>
          <w:sz w:val="24"/>
          <w:szCs w:val="24"/>
          <w:lang w:val="en-US"/>
        </w:rPr>
        <w:t>organisations</w:t>
      </w:r>
      <w:proofErr w:type="spellEnd"/>
      <w:r>
        <w:rPr>
          <w:rFonts w:ascii="Times New Roman" w:hAnsi="Times New Roman"/>
          <w:sz w:val="24"/>
          <w:szCs w:val="24"/>
          <w:lang w:val="en-US"/>
        </w:rPr>
        <w:t xml:space="preserve"> were embedded within broader social movements and developed what became a politically salient, if sometimes </w:t>
      </w:r>
      <w:proofErr w:type="spellStart"/>
      <w:r>
        <w:rPr>
          <w:rFonts w:ascii="Times New Roman" w:hAnsi="Times New Roman"/>
          <w:sz w:val="24"/>
          <w:szCs w:val="24"/>
          <w:lang w:val="en-US"/>
        </w:rPr>
        <w:t>abstentionist</w:t>
      </w:r>
      <w:proofErr w:type="spellEnd"/>
      <w:r>
        <w:rPr>
          <w:rFonts w:ascii="Times New Roman" w:hAnsi="Times New Roman"/>
          <w:sz w:val="24"/>
          <w:szCs w:val="24"/>
          <w:lang w:val="en-US"/>
        </w:rPr>
        <w:t xml:space="preserve">, ‘political wing’, in the case of ETA, HB and </w:t>
      </w:r>
      <w:proofErr w:type="spellStart"/>
      <w:r w:rsidRPr="00187B79">
        <w:rPr>
          <w:rFonts w:ascii="Times New Roman" w:hAnsi="Times New Roman"/>
          <w:i/>
          <w:sz w:val="24"/>
          <w:szCs w:val="24"/>
          <w:lang w:val="en-US"/>
        </w:rPr>
        <w:t>Batasuna</w:t>
      </w:r>
      <w:proofErr w:type="spellEnd"/>
      <w:r>
        <w:rPr>
          <w:rFonts w:ascii="Times New Roman" w:hAnsi="Times New Roman"/>
          <w:sz w:val="24"/>
          <w:szCs w:val="24"/>
          <w:lang w:val="en-US"/>
        </w:rPr>
        <w:t xml:space="preserve"> (among others) and in the case of the IRA, </w:t>
      </w:r>
      <w:r w:rsidRPr="0037705B">
        <w:rPr>
          <w:rFonts w:ascii="Times New Roman" w:hAnsi="Times New Roman"/>
          <w:i/>
          <w:sz w:val="24"/>
          <w:szCs w:val="24"/>
          <w:lang w:val="en-US"/>
        </w:rPr>
        <w:t>Sinn Fein</w:t>
      </w:r>
      <w:r>
        <w:rPr>
          <w:rFonts w:ascii="Times New Roman" w:hAnsi="Times New Roman"/>
          <w:sz w:val="24"/>
          <w:szCs w:val="24"/>
          <w:lang w:val="en-US"/>
        </w:rPr>
        <w:t xml:space="preserve">. In other words, these parties were instances of a ‘political front’, which ‘emerge from the terrorist group’, are ‘usually subordinate to the terrorist </w:t>
      </w:r>
      <w:proofErr w:type="spellStart"/>
      <w:r>
        <w:rPr>
          <w:rFonts w:ascii="Times New Roman" w:hAnsi="Times New Roman"/>
          <w:sz w:val="24"/>
          <w:szCs w:val="24"/>
          <w:lang w:val="en-US"/>
        </w:rPr>
        <w:t>organisation</w:t>
      </w:r>
      <w:proofErr w:type="spellEnd"/>
      <w:r>
        <w:rPr>
          <w:rFonts w:ascii="Times New Roman" w:hAnsi="Times New Roman"/>
          <w:sz w:val="24"/>
          <w:szCs w:val="24"/>
          <w:lang w:val="en-US"/>
        </w:rPr>
        <w:t>’ and are ‘</w:t>
      </w:r>
      <w:proofErr w:type="spellStart"/>
      <w:r>
        <w:rPr>
          <w:rFonts w:ascii="Times New Roman" w:hAnsi="Times New Roman"/>
          <w:sz w:val="24"/>
          <w:szCs w:val="24"/>
          <w:lang w:val="en-US"/>
        </w:rPr>
        <w:t>umbellically</w:t>
      </w:r>
      <w:proofErr w:type="spellEnd"/>
      <w:r>
        <w:rPr>
          <w:rFonts w:ascii="Times New Roman" w:hAnsi="Times New Roman"/>
          <w:sz w:val="24"/>
          <w:szCs w:val="24"/>
          <w:lang w:val="en-US"/>
        </w:rPr>
        <w:t xml:space="preserve"> linked to the terrorist group…[through the] cross or dual membership that exists between them’ (Richards 2001, 73). </w:t>
      </w:r>
    </w:p>
    <w:p w:rsidR="0021746F" w:rsidRDefault="0021746F" w:rsidP="008B2984">
      <w:pPr>
        <w:pStyle w:val="ListParagraph"/>
        <w:spacing w:line="360" w:lineRule="auto"/>
        <w:ind w:left="0"/>
        <w:rPr>
          <w:rFonts w:ascii="Times New Roman" w:hAnsi="Times New Roman"/>
          <w:sz w:val="24"/>
          <w:szCs w:val="24"/>
          <w:lang w:val="en-US"/>
        </w:rPr>
      </w:pPr>
    </w:p>
    <w:p w:rsidR="0021746F" w:rsidRDefault="0021746F" w:rsidP="008B2984">
      <w:pPr>
        <w:pStyle w:val="ListParagraph"/>
        <w:spacing w:line="360" w:lineRule="auto"/>
        <w:ind w:left="0"/>
        <w:rPr>
          <w:rFonts w:ascii="Times New Roman" w:hAnsi="Times New Roman"/>
          <w:sz w:val="24"/>
          <w:szCs w:val="24"/>
          <w:lang w:val="en-US"/>
        </w:rPr>
      </w:pPr>
      <w:r>
        <w:rPr>
          <w:rFonts w:ascii="Times New Roman" w:hAnsi="Times New Roman"/>
          <w:sz w:val="24"/>
          <w:szCs w:val="24"/>
          <w:lang w:val="en-US"/>
        </w:rPr>
        <w:t xml:space="preserve">Nevertheless, some important differences between the cases remain. Sánchez succinctly </w:t>
      </w:r>
      <w:proofErr w:type="spellStart"/>
      <w:r>
        <w:rPr>
          <w:rFonts w:ascii="Times New Roman" w:hAnsi="Times New Roman"/>
          <w:sz w:val="24"/>
          <w:szCs w:val="24"/>
          <w:lang w:val="en-US"/>
        </w:rPr>
        <w:t>summarises</w:t>
      </w:r>
      <w:proofErr w:type="spellEnd"/>
      <w:r>
        <w:rPr>
          <w:rFonts w:ascii="Times New Roman" w:hAnsi="Times New Roman"/>
          <w:sz w:val="24"/>
          <w:szCs w:val="24"/>
          <w:lang w:val="en-US"/>
        </w:rPr>
        <w:t xml:space="preserve"> some crucial differences as follows:</w:t>
      </w:r>
    </w:p>
    <w:p w:rsidR="0021746F" w:rsidRDefault="0021746F" w:rsidP="003D79A2">
      <w:pPr>
        <w:pStyle w:val="ListParagraph"/>
        <w:spacing w:line="360" w:lineRule="auto"/>
        <w:rPr>
          <w:rFonts w:ascii="Times New Roman" w:hAnsi="Times New Roman"/>
          <w:sz w:val="24"/>
          <w:szCs w:val="24"/>
          <w:lang w:val="en-US"/>
        </w:rPr>
      </w:pPr>
      <w:r>
        <w:rPr>
          <w:rFonts w:ascii="Times New Roman" w:hAnsi="Times New Roman"/>
          <w:sz w:val="24"/>
          <w:szCs w:val="24"/>
          <w:lang w:val="en-US"/>
        </w:rPr>
        <w:t xml:space="preserve">…the IRA’s campaign took place in the context of an ethnic conflict between two communities divided by religion. The IRA fought against </w:t>
      </w:r>
      <w:smartTag w:uri="urn:schemas-microsoft-com:office:smarttags" w:element="country-region">
        <w:smartTag w:uri="urn:schemas-microsoft-com:office:smarttags" w:element="place">
          <w:r>
            <w:rPr>
              <w:rFonts w:ascii="Times New Roman" w:hAnsi="Times New Roman"/>
              <w:sz w:val="24"/>
              <w:szCs w:val="24"/>
              <w:lang w:val="en-US"/>
            </w:rPr>
            <w:t>Britain</w:t>
          </w:r>
        </w:smartTag>
      </w:smartTag>
      <w:r>
        <w:rPr>
          <w:rFonts w:ascii="Times New Roman" w:hAnsi="Times New Roman"/>
          <w:sz w:val="24"/>
          <w:szCs w:val="24"/>
          <w:lang w:val="en-US"/>
        </w:rPr>
        <w:t xml:space="preserve">, but also against loyalist paramilitary </w:t>
      </w:r>
      <w:proofErr w:type="spellStart"/>
      <w:r>
        <w:rPr>
          <w:rFonts w:ascii="Times New Roman" w:hAnsi="Times New Roman"/>
          <w:sz w:val="24"/>
          <w:szCs w:val="24"/>
          <w:lang w:val="en-US"/>
        </w:rPr>
        <w:t>organisations</w:t>
      </w:r>
      <w:proofErr w:type="spellEnd"/>
      <w:r>
        <w:rPr>
          <w:rFonts w:ascii="Times New Roman" w:hAnsi="Times New Roman"/>
          <w:sz w:val="24"/>
          <w:szCs w:val="24"/>
          <w:lang w:val="en-US"/>
        </w:rPr>
        <w:t>. Many killings of protestant civilians and paramilitaries were the result of retaliation and sectarian warfare. In the Basque Country, ETA has tried to avoid sectarian killings and the conflict has not involved a clash of communities between nationalists and non-nationalists, despite the fact that the Basque Country received 468,000 immigrants from the rest of Spain…Generally speaking, terrorists have mainly acted against a single enemy, the Spanish state (2007, 292-3).</w:t>
      </w:r>
    </w:p>
    <w:p w:rsidR="0021746F" w:rsidRDefault="0021746F" w:rsidP="00C70B67">
      <w:pPr>
        <w:pStyle w:val="ListParagraph"/>
        <w:spacing w:line="360" w:lineRule="auto"/>
        <w:rPr>
          <w:rFonts w:ascii="Times New Roman" w:hAnsi="Times New Roman"/>
          <w:sz w:val="24"/>
          <w:szCs w:val="24"/>
          <w:lang w:val="en-US"/>
        </w:rPr>
      </w:pPr>
    </w:p>
    <w:p w:rsidR="00B3456D" w:rsidRDefault="0021746F" w:rsidP="009A17AB">
      <w:pPr>
        <w:pStyle w:val="ListParagraph"/>
        <w:spacing w:line="360" w:lineRule="auto"/>
        <w:ind w:left="0"/>
        <w:rPr>
          <w:rFonts w:ascii="Times New Roman" w:hAnsi="Times New Roman"/>
          <w:sz w:val="24"/>
          <w:szCs w:val="24"/>
          <w:lang w:val="en-US"/>
        </w:rPr>
      </w:pPr>
      <w:r>
        <w:rPr>
          <w:rFonts w:ascii="Times New Roman" w:hAnsi="Times New Roman"/>
          <w:sz w:val="24"/>
          <w:szCs w:val="24"/>
          <w:lang w:val="en-US"/>
        </w:rPr>
        <w:lastRenderedPageBreak/>
        <w:t xml:space="preserve">In the paper, I begin with a presentation of cases of party bans in the two countries and the legal framework through which these acts of proscription took place. </w:t>
      </w:r>
      <w:r w:rsidR="00622E12">
        <w:rPr>
          <w:rFonts w:ascii="Times New Roman" w:hAnsi="Times New Roman"/>
          <w:sz w:val="24"/>
          <w:szCs w:val="24"/>
          <w:lang w:val="en-US"/>
        </w:rPr>
        <w:t xml:space="preserve">I then turn to discuss the </w:t>
      </w:r>
      <w:r w:rsidR="00B3456D">
        <w:rPr>
          <w:rFonts w:ascii="Times New Roman" w:hAnsi="Times New Roman"/>
          <w:sz w:val="24"/>
          <w:szCs w:val="24"/>
          <w:lang w:val="en-US"/>
        </w:rPr>
        <w:t xml:space="preserve">institutional framework in which proscription takes place, which I argue is important for understanding differences of approach in the UK and Spain. In the final section I discuss the </w:t>
      </w:r>
      <w:r w:rsidR="00622E12">
        <w:rPr>
          <w:rFonts w:ascii="Times New Roman" w:hAnsi="Times New Roman"/>
          <w:sz w:val="24"/>
          <w:szCs w:val="24"/>
          <w:lang w:val="en-US"/>
        </w:rPr>
        <w:t>‘proscription dilemma’ posed by the existence of anti-system parties in democratic states</w:t>
      </w:r>
      <w:r w:rsidR="00B3456D">
        <w:rPr>
          <w:rFonts w:ascii="Times New Roman" w:hAnsi="Times New Roman"/>
          <w:sz w:val="24"/>
          <w:szCs w:val="24"/>
          <w:lang w:val="en-US"/>
        </w:rPr>
        <w:t xml:space="preserve"> and</w:t>
      </w:r>
      <w:r w:rsidR="00622E12">
        <w:rPr>
          <w:rFonts w:ascii="Times New Roman" w:hAnsi="Times New Roman"/>
          <w:sz w:val="24"/>
          <w:szCs w:val="24"/>
          <w:lang w:val="en-US"/>
        </w:rPr>
        <w:t xml:space="preserve"> describe two contrasting constructions of the ‘appropriate response’ to this dilemma observed in the political speech of party spokespersons in Spain and the UK.</w:t>
      </w:r>
    </w:p>
    <w:p w:rsidR="00B3456D" w:rsidRDefault="00B3456D" w:rsidP="009A17AB">
      <w:pPr>
        <w:pStyle w:val="ListParagraph"/>
        <w:spacing w:line="360" w:lineRule="auto"/>
        <w:ind w:left="0"/>
        <w:rPr>
          <w:rFonts w:ascii="Times New Roman" w:hAnsi="Times New Roman"/>
          <w:sz w:val="24"/>
          <w:szCs w:val="24"/>
          <w:lang w:val="en-US"/>
        </w:rPr>
      </w:pPr>
    </w:p>
    <w:p w:rsidR="009A17AB" w:rsidRDefault="007A7FA0" w:rsidP="009A17AB">
      <w:pPr>
        <w:pStyle w:val="ListParagraph"/>
        <w:spacing w:line="360" w:lineRule="auto"/>
        <w:ind w:left="0"/>
        <w:rPr>
          <w:rFonts w:ascii="Times New Roman" w:hAnsi="Times New Roman"/>
          <w:sz w:val="24"/>
          <w:szCs w:val="24"/>
          <w:lang w:val="en-US"/>
        </w:rPr>
      </w:pPr>
      <w:r>
        <w:rPr>
          <w:rFonts w:ascii="Times New Roman" w:hAnsi="Times New Roman"/>
          <w:sz w:val="24"/>
          <w:szCs w:val="24"/>
          <w:lang w:val="en-US"/>
        </w:rPr>
        <w:t xml:space="preserve">I argue that decisions to ban the political parties linked to the IRA and ETA can be explained at least in part by the predominance of a ‘discourse of intolerance’ in which proscription is seen predominantly as a problem of law and order; the banned party is deemed ‘abnormal’ and thus unworthy of </w:t>
      </w:r>
      <w:r w:rsidR="00B3456D">
        <w:rPr>
          <w:rFonts w:ascii="Times New Roman" w:hAnsi="Times New Roman"/>
          <w:sz w:val="24"/>
          <w:szCs w:val="24"/>
          <w:lang w:val="en-US"/>
        </w:rPr>
        <w:t xml:space="preserve">the </w:t>
      </w:r>
      <w:r>
        <w:rPr>
          <w:rFonts w:ascii="Times New Roman" w:hAnsi="Times New Roman"/>
          <w:sz w:val="24"/>
          <w:szCs w:val="24"/>
          <w:lang w:val="en-US"/>
        </w:rPr>
        <w:t>usual privileges and entitlements</w:t>
      </w:r>
      <w:r w:rsidR="00B3456D">
        <w:rPr>
          <w:rFonts w:ascii="Times New Roman" w:hAnsi="Times New Roman"/>
          <w:sz w:val="24"/>
          <w:szCs w:val="24"/>
          <w:lang w:val="en-US"/>
        </w:rPr>
        <w:t xml:space="preserve"> of parties</w:t>
      </w:r>
      <w:r>
        <w:rPr>
          <w:rFonts w:ascii="Times New Roman" w:hAnsi="Times New Roman"/>
          <w:sz w:val="24"/>
          <w:szCs w:val="24"/>
          <w:lang w:val="en-US"/>
        </w:rPr>
        <w:t xml:space="preserve">; and where proscription is seen to positively contribute to ending violent conflict. In contrast, parties were legalized when a ‘discourse of tolerance’ predominated in which the role of parties for realization of free speech and representation is also emphasized, and where proscription is seen as inimical to resolution of conflict underpinning violence.  I also argue that in the context of party competition, a winning coalition is required for one discourse to predominate. </w:t>
      </w:r>
      <w:r w:rsidR="002C2019">
        <w:rPr>
          <w:rFonts w:ascii="Times New Roman" w:hAnsi="Times New Roman"/>
          <w:sz w:val="24"/>
          <w:szCs w:val="24"/>
          <w:lang w:val="en-US"/>
        </w:rPr>
        <w:t xml:space="preserve"> However, I also argued that both ideas and institutions matter. Adopting an </w:t>
      </w:r>
      <w:r w:rsidR="00393644">
        <w:rPr>
          <w:rFonts w:ascii="Times New Roman" w:hAnsi="Times New Roman"/>
          <w:sz w:val="24"/>
          <w:szCs w:val="24"/>
          <w:lang w:val="en-US"/>
        </w:rPr>
        <w:t xml:space="preserve">‘discursive </w:t>
      </w:r>
      <w:proofErr w:type="spellStart"/>
      <w:r w:rsidR="002C2019">
        <w:rPr>
          <w:rFonts w:ascii="Times New Roman" w:hAnsi="Times New Roman"/>
          <w:sz w:val="24"/>
          <w:szCs w:val="24"/>
          <w:lang w:val="en-US"/>
        </w:rPr>
        <w:t>institutionalist</w:t>
      </w:r>
      <w:proofErr w:type="spellEnd"/>
      <w:r w:rsidR="00393644">
        <w:rPr>
          <w:rFonts w:ascii="Times New Roman" w:hAnsi="Times New Roman"/>
          <w:sz w:val="24"/>
          <w:szCs w:val="24"/>
          <w:lang w:val="en-US"/>
        </w:rPr>
        <w:t>’</w:t>
      </w:r>
      <w:r w:rsidR="002C2019">
        <w:rPr>
          <w:rFonts w:ascii="Times New Roman" w:hAnsi="Times New Roman"/>
          <w:sz w:val="24"/>
          <w:szCs w:val="24"/>
          <w:lang w:val="en-US"/>
        </w:rPr>
        <w:t xml:space="preserve"> approach</w:t>
      </w:r>
      <w:r w:rsidR="00393644">
        <w:rPr>
          <w:rFonts w:ascii="Times New Roman" w:hAnsi="Times New Roman"/>
          <w:sz w:val="24"/>
          <w:szCs w:val="24"/>
          <w:lang w:val="en-US"/>
        </w:rPr>
        <w:t xml:space="preserve"> (Schmidt, 2008)</w:t>
      </w:r>
      <w:r w:rsidR="002C2019">
        <w:rPr>
          <w:rFonts w:ascii="Times New Roman" w:hAnsi="Times New Roman"/>
          <w:sz w:val="24"/>
          <w:szCs w:val="24"/>
          <w:lang w:val="en-US"/>
        </w:rPr>
        <w:t xml:space="preserve">, I argued that varying institutional structures and norms empower different actors in the two countries with the result that in Spain the judiciary have been veto players able to overturn preferences of political parties on matters of proscription if they have not been in agreement. </w:t>
      </w:r>
      <w:r w:rsidR="009A17AB">
        <w:rPr>
          <w:rFonts w:ascii="Times New Roman" w:hAnsi="Times New Roman"/>
          <w:sz w:val="24"/>
          <w:szCs w:val="24"/>
          <w:lang w:val="en-US"/>
        </w:rPr>
        <w:t xml:space="preserve">  </w:t>
      </w:r>
    </w:p>
    <w:p w:rsidR="003A0DD2" w:rsidRPr="008639E9" w:rsidRDefault="003A0DD2" w:rsidP="003A0DD2">
      <w:pPr>
        <w:spacing w:after="0" w:line="360" w:lineRule="auto"/>
        <w:rPr>
          <w:rFonts w:ascii="Times New Roman" w:hAnsi="Times New Roman"/>
          <w:b/>
          <w:sz w:val="24"/>
          <w:szCs w:val="24"/>
        </w:rPr>
      </w:pPr>
      <w:r w:rsidRPr="008639E9">
        <w:rPr>
          <w:rFonts w:ascii="Times New Roman" w:hAnsi="Times New Roman"/>
          <w:b/>
          <w:sz w:val="24"/>
          <w:szCs w:val="24"/>
        </w:rPr>
        <w:t>Party bans in the United Kingdom</w:t>
      </w:r>
    </w:p>
    <w:p w:rsidR="003A0DD2" w:rsidRDefault="003A0DD2" w:rsidP="003A0DD2">
      <w:pPr>
        <w:spacing w:after="0" w:line="360" w:lineRule="auto"/>
        <w:rPr>
          <w:rFonts w:ascii="Times New Roman" w:hAnsi="Times New Roman"/>
          <w:sz w:val="24"/>
          <w:szCs w:val="24"/>
        </w:rPr>
      </w:pPr>
    </w:p>
    <w:p w:rsidR="003A0DD2" w:rsidRDefault="003A0DD2" w:rsidP="003A0DD2">
      <w:pPr>
        <w:spacing w:after="0" w:line="360" w:lineRule="auto"/>
      </w:pPr>
      <w:r>
        <w:rPr>
          <w:rFonts w:ascii="Times New Roman" w:hAnsi="Times New Roman"/>
          <w:sz w:val="24"/>
          <w:szCs w:val="24"/>
        </w:rPr>
        <w:t xml:space="preserve">The relevant legal framework governing the legal status of republican parties and associations is more complex, in part due to the movement’s longer history of struggle (against a democratic rather than authoritarian regime in the Spanish case), and the changing legal status of the territorial framework in which that struggle occurred. In July 1918, when Ireland formed part of the United Kingdom of Great Britain and Ireland, </w:t>
      </w:r>
      <w:r w:rsidRPr="00D23B78">
        <w:rPr>
          <w:rFonts w:ascii="Times New Roman" w:hAnsi="Times New Roman"/>
          <w:sz w:val="24"/>
          <w:szCs w:val="24"/>
        </w:rPr>
        <w:t>Sinn Fein Organisation and Sinn Fein Clubs, along with a number of other republican organisations, were declared ‘dangerous’ associations in accordance with the Criminal Law and Procedure (Ireland) Act 1887</w:t>
      </w:r>
      <w:r>
        <w:rPr>
          <w:rFonts w:ascii="Times New Roman" w:hAnsi="Times New Roman"/>
          <w:sz w:val="24"/>
          <w:szCs w:val="24"/>
        </w:rPr>
        <w:t>.</w:t>
      </w:r>
      <w:r w:rsidRPr="00D23B78">
        <w:rPr>
          <w:rStyle w:val="FootnoteReference"/>
          <w:sz w:val="24"/>
          <w:szCs w:val="24"/>
        </w:rPr>
        <w:footnoteReference w:id="2"/>
      </w:r>
      <w:r>
        <w:rPr>
          <w:rFonts w:ascii="Times New Roman" w:hAnsi="Times New Roman"/>
          <w:sz w:val="24"/>
          <w:szCs w:val="24"/>
        </w:rPr>
        <w:t xml:space="preserve"> </w:t>
      </w:r>
      <w:r w:rsidRPr="001D2E89">
        <w:rPr>
          <w:rFonts w:ascii="Times New Roman" w:hAnsi="Times New Roman"/>
          <w:sz w:val="24"/>
          <w:szCs w:val="24"/>
        </w:rPr>
        <w:t>T</w:t>
      </w:r>
      <w:r w:rsidRPr="00D23B78">
        <w:rPr>
          <w:rFonts w:ascii="Times New Roman" w:hAnsi="Times New Roman"/>
          <w:sz w:val="24"/>
          <w:szCs w:val="24"/>
        </w:rPr>
        <w:t xml:space="preserve">hey were so characterised because authorities were ‘satisfied’ that ‘said associations in part of Ireland encourage and aid persons to </w:t>
      </w:r>
      <w:r w:rsidRPr="00D23B78">
        <w:rPr>
          <w:rFonts w:ascii="Times New Roman" w:hAnsi="Times New Roman"/>
          <w:sz w:val="24"/>
          <w:szCs w:val="24"/>
        </w:rPr>
        <w:lastRenderedPageBreak/>
        <w:t xml:space="preserve">commit crime and promote and incite to acts of violence and intimidation and interfere with the administration of law and disturb the maintenance of law and order’. Moreover, they were deemed a ‘grave menace designed to terrorize peaceful and law abiding subjects’. </w:t>
      </w:r>
      <w:r>
        <w:rPr>
          <w:rFonts w:ascii="Times New Roman" w:hAnsi="Times New Roman"/>
          <w:sz w:val="24"/>
          <w:szCs w:val="24"/>
        </w:rPr>
        <w:t xml:space="preserve">In November 1919, following the start of the Irish war of independence (1919-21) and the December 1918 Westminster election, when Sinn Fein it won 73 out of 105 seats and after which Sinn Fein formed the </w:t>
      </w:r>
      <w:proofErr w:type="spellStart"/>
      <w:r>
        <w:rPr>
          <w:rFonts w:ascii="Times New Roman" w:hAnsi="Times New Roman"/>
          <w:sz w:val="24"/>
          <w:szCs w:val="24"/>
        </w:rPr>
        <w:t>successionist</w:t>
      </w:r>
      <w:proofErr w:type="spellEnd"/>
      <w:r>
        <w:rPr>
          <w:rFonts w:ascii="Times New Roman" w:hAnsi="Times New Roman"/>
          <w:sz w:val="24"/>
          <w:szCs w:val="24"/>
        </w:rPr>
        <w:t xml:space="preserve"> </w:t>
      </w:r>
      <w:proofErr w:type="spellStart"/>
      <w:r w:rsidRPr="001D2E89">
        <w:rPr>
          <w:rFonts w:ascii="Times New Roman" w:hAnsi="Times New Roman"/>
          <w:i/>
          <w:sz w:val="24"/>
          <w:szCs w:val="24"/>
        </w:rPr>
        <w:t>Dáil</w:t>
      </w:r>
      <w:proofErr w:type="spellEnd"/>
      <w:r w:rsidRPr="001D2E89">
        <w:rPr>
          <w:rFonts w:ascii="Times New Roman" w:hAnsi="Times New Roman"/>
          <w:i/>
          <w:sz w:val="24"/>
          <w:szCs w:val="24"/>
        </w:rPr>
        <w:t xml:space="preserve"> </w:t>
      </w:r>
      <w:proofErr w:type="spellStart"/>
      <w:r w:rsidRPr="001D2E89">
        <w:rPr>
          <w:rFonts w:ascii="Times New Roman" w:hAnsi="Times New Roman"/>
          <w:i/>
          <w:sz w:val="24"/>
          <w:szCs w:val="24"/>
        </w:rPr>
        <w:t>Éireann</w:t>
      </w:r>
      <w:proofErr w:type="spellEnd"/>
      <w:r>
        <w:rPr>
          <w:rFonts w:ascii="Times New Roman" w:hAnsi="Times New Roman"/>
          <w:i/>
          <w:sz w:val="24"/>
          <w:szCs w:val="24"/>
        </w:rPr>
        <w:t xml:space="preserve">, </w:t>
      </w:r>
      <w:r w:rsidRPr="00D23B78">
        <w:rPr>
          <w:rFonts w:ascii="Times New Roman" w:hAnsi="Times New Roman"/>
          <w:sz w:val="24"/>
          <w:szCs w:val="24"/>
        </w:rPr>
        <w:t>these organisations were ‘prohibited and suppressed’ in accordance with the same legislation.</w:t>
      </w:r>
      <w:r w:rsidRPr="00D23B78">
        <w:rPr>
          <w:rStyle w:val="FootnoteReference"/>
          <w:sz w:val="24"/>
          <w:szCs w:val="24"/>
        </w:rPr>
        <w:footnoteReference w:id="3"/>
      </w:r>
    </w:p>
    <w:p w:rsidR="003A0DD2" w:rsidRPr="00D23B78" w:rsidRDefault="003A0DD2" w:rsidP="003A0DD2">
      <w:pPr>
        <w:autoSpaceDE w:val="0"/>
        <w:autoSpaceDN w:val="0"/>
        <w:adjustRightInd w:val="0"/>
        <w:spacing w:after="0" w:line="360" w:lineRule="auto"/>
        <w:rPr>
          <w:rFonts w:ascii="Times New Roman" w:hAnsi="Times New Roman"/>
          <w:sz w:val="24"/>
          <w:szCs w:val="24"/>
        </w:rPr>
      </w:pPr>
    </w:p>
    <w:p w:rsidR="003A0DD2" w:rsidRPr="00D23B78" w:rsidRDefault="003A0DD2" w:rsidP="003A0DD2">
      <w:pPr>
        <w:autoSpaceDE w:val="0"/>
        <w:autoSpaceDN w:val="0"/>
        <w:adjustRightInd w:val="0"/>
        <w:spacing w:after="0" w:line="360" w:lineRule="auto"/>
        <w:rPr>
          <w:rFonts w:ascii="Times New Roman" w:hAnsi="Times New Roman"/>
          <w:sz w:val="24"/>
          <w:szCs w:val="24"/>
        </w:rPr>
      </w:pPr>
      <w:r w:rsidRPr="00D23B78">
        <w:rPr>
          <w:rFonts w:ascii="Times New Roman" w:hAnsi="Times New Roman"/>
          <w:sz w:val="24"/>
          <w:szCs w:val="24"/>
        </w:rPr>
        <w:t>Following enactment of the Government of Ireland Act (1920), which permitted establishment of the Northern Ireland state</w:t>
      </w:r>
      <w:r>
        <w:rPr>
          <w:rFonts w:ascii="Times New Roman" w:hAnsi="Times New Roman"/>
          <w:sz w:val="24"/>
          <w:szCs w:val="24"/>
        </w:rPr>
        <w:t>,</w:t>
      </w:r>
      <w:r w:rsidRPr="00D23B78">
        <w:rPr>
          <w:rFonts w:ascii="Times New Roman" w:hAnsi="Times New Roman"/>
          <w:sz w:val="24"/>
          <w:szCs w:val="24"/>
        </w:rPr>
        <w:t xml:space="preserve"> political parties and other organisations could be proscribed in Northern Ireland under the Civil Authorities (Special Powers Act) of 1922 (henceforth Special Powers Act). The Special Powers Act gave northern Irish authorities extensive powers for ‘preserving the peace and maintaining order’ in Northern Ireland.  Regulation 24A made it an offence for any person to become or remain a member of an unlawful association, or to act with a view to promoting the objects of an unlawful association or seditious conspiracy. It was also an offence to be in possession of documents relating to the affairs of an unlawful association unless it could be proved that someone found to be in possession of such documents </w:t>
      </w:r>
      <w:r>
        <w:rPr>
          <w:rFonts w:ascii="Times New Roman" w:hAnsi="Times New Roman"/>
          <w:sz w:val="24"/>
          <w:szCs w:val="24"/>
        </w:rPr>
        <w:t xml:space="preserve">had </w:t>
      </w:r>
      <w:r w:rsidRPr="00D23B78">
        <w:rPr>
          <w:rFonts w:ascii="Times New Roman" w:hAnsi="Times New Roman"/>
          <w:sz w:val="24"/>
          <w:szCs w:val="24"/>
        </w:rPr>
        <w:t xml:space="preserve">no association with the unlawful organisation. </w:t>
      </w:r>
      <w:r>
        <w:rPr>
          <w:rFonts w:ascii="Times New Roman" w:hAnsi="Times New Roman"/>
          <w:sz w:val="24"/>
          <w:szCs w:val="24"/>
        </w:rPr>
        <w:t xml:space="preserve">The Irish Free State, where the IRA was banned in 1936 by </w:t>
      </w:r>
      <w:proofErr w:type="spellStart"/>
      <w:r>
        <w:rPr>
          <w:rFonts w:ascii="Times New Roman" w:hAnsi="Times New Roman"/>
          <w:sz w:val="24"/>
          <w:szCs w:val="24"/>
        </w:rPr>
        <w:t>Éamon</w:t>
      </w:r>
      <w:proofErr w:type="spellEnd"/>
      <w:r>
        <w:rPr>
          <w:rFonts w:ascii="Times New Roman" w:hAnsi="Times New Roman"/>
          <w:sz w:val="24"/>
          <w:szCs w:val="24"/>
        </w:rPr>
        <w:t xml:space="preserve"> de Valera’s </w:t>
      </w:r>
      <w:proofErr w:type="spellStart"/>
      <w:r>
        <w:rPr>
          <w:rFonts w:ascii="Times New Roman" w:hAnsi="Times New Roman"/>
          <w:sz w:val="24"/>
          <w:szCs w:val="24"/>
        </w:rPr>
        <w:t>Fianna</w:t>
      </w:r>
      <w:proofErr w:type="spellEnd"/>
      <w:r>
        <w:rPr>
          <w:rFonts w:ascii="Times New Roman" w:hAnsi="Times New Roman"/>
          <w:sz w:val="24"/>
          <w:szCs w:val="24"/>
        </w:rPr>
        <w:t xml:space="preserve"> Fail government (Patterson, 2006, 20) and other republican groups faced restrictions, Sinn </w:t>
      </w:r>
      <w:proofErr w:type="spellStart"/>
      <w:r>
        <w:rPr>
          <w:rFonts w:ascii="Times New Roman" w:hAnsi="Times New Roman"/>
          <w:sz w:val="24"/>
          <w:szCs w:val="24"/>
        </w:rPr>
        <w:t>Féin</w:t>
      </w:r>
      <w:proofErr w:type="spellEnd"/>
      <w:r>
        <w:rPr>
          <w:rFonts w:ascii="Times New Roman" w:hAnsi="Times New Roman"/>
          <w:sz w:val="24"/>
          <w:szCs w:val="24"/>
        </w:rPr>
        <w:t xml:space="preserve"> was not banned (Hanley 2002, 94).</w:t>
      </w:r>
    </w:p>
    <w:p w:rsidR="003A0DD2" w:rsidRDefault="003A0DD2" w:rsidP="003A0DD2">
      <w:pPr>
        <w:spacing w:line="360" w:lineRule="auto"/>
        <w:rPr>
          <w:rFonts w:ascii="Times New Roman" w:hAnsi="Times New Roman"/>
          <w:sz w:val="24"/>
          <w:szCs w:val="24"/>
        </w:rPr>
      </w:pPr>
    </w:p>
    <w:p w:rsidR="003A0DD2" w:rsidRDefault="003A0DD2" w:rsidP="003A0DD2">
      <w:pPr>
        <w:spacing w:line="360" w:lineRule="auto"/>
        <w:rPr>
          <w:rFonts w:ascii="Times New Roman" w:hAnsi="Times New Roman"/>
          <w:sz w:val="24"/>
          <w:szCs w:val="24"/>
        </w:rPr>
      </w:pPr>
      <w:r w:rsidRPr="00D23B78">
        <w:rPr>
          <w:rFonts w:ascii="Times New Roman" w:hAnsi="Times New Roman"/>
          <w:sz w:val="24"/>
          <w:szCs w:val="24"/>
        </w:rPr>
        <w:t xml:space="preserve">In addition to various organisations, five parties were banned under the Special Powers Act between 1922 and 1972. When the Act came into force, authorities </w:t>
      </w:r>
      <w:r>
        <w:rPr>
          <w:rFonts w:ascii="Times New Roman" w:hAnsi="Times New Roman"/>
          <w:sz w:val="24"/>
          <w:szCs w:val="24"/>
        </w:rPr>
        <w:t xml:space="preserve">soon </w:t>
      </w:r>
      <w:r w:rsidRPr="00D23B78">
        <w:rPr>
          <w:rFonts w:ascii="Times New Roman" w:hAnsi="Times New Roman"/>
          <w:sz w:val="24"/>
          <w:szCs w:val="24"/>
        </w:rPr>
        <w:t xml:space="preserve">banned </w:t>
      </w:r>
      <w:r>
        <w:rPr>
          <w:rFonts w:ascii="Times New Roman" w:hAnsi="Times New Roman"/>
          <w:sz w:val="24"/>
          <w:szCs w:val="24"/>
        </w:rPr>
        <w:t xml:space="preserve">(on 22 May 1922) </w:t>
      </w:r>
      <w:r w:rsidRPr="00D23B78">
        <w:rPr>
          <w:rFonts w:ascii="Times New Roman" w:hAnsi="Times New Roman"/>
          <w:sz w:val="24"/>
          <w:szCs w:val="24"/>
        </w:rPr>
        <w:t>five republican organisations - The Irish Republican Brotherhood, the I</w:t>
      </w:r>
      <w:r>
        <w:rPr>
          <w:rFonts w:ascii="Times New Roman" w:hAnsi="Times New Roman"/>
          <w:sz w:val="24"/>
          <w:szCs w:val="24"/>
        </w:rPr>
        <w:t>RA,</w:t>
      </w:r>
      <w:r w:rsidRPr="00D23B78">
        <w:rPr>
          <w:rFonts w:ascii="Times New Roman" w:hAnsi="Times New Roman"/>
          <w:sz w:val="24"/>
          <w:szCs w:val="24"/>
        </w:rPr>
        <w:t xml:space="preserve"> the Irish Volunteers, the republican women’s organisation </w:t>
      </w:r>
      <w:proofErr w:type="spellStart"/>
      <w:r w:rsidRPr="00D23B78">
        <w:rPr>
          <w:rFonts w:ascii="Times New Roman" w:hAnsi="Times New Roman"/>
          <w:i/>
          <w:sz w:val="24"/>
          <w:szCs w:val="24"/>
        </w:rPr>
        <w:t>Cumann</w:t>
      </w:r>
      <w:proofErr w:type="spellEnd"/>
      <w:r w:rsidRPr="00D23B78">
        <w:rPr>
          <w:rFonts w:ascii="Times New Roman" w:hAnsi="Times New Roman"/>
          <w:i/>
          <w:sz w:val="24"/>
          <w:szCs w:val="24"/>
        </w:rPr>
        <w:t xml:space="preserve"> Na </w:t>
      </w:r>
      <w:proofErr w:type="spellStart"/>
      <w:r w:rsidRPr="00D23B78">
        <w:rPr>
          <w:rFonts w:ascii="Times New Roman" w:hAnsi="Times New Roman"/>
          <w:i/>
          <w:sz w:val="24"/>
          <w:szCs w:val="24"/>
        </w:rPr>
        <w:t>m’Ban</w:t>
      </w:r>
      <w:proofErr w:type="spellEnd"/>
      <w:r w:rsidRPr="00D23B78">
        <w:rPr>
          <w:rFonts w:ascii="Times New Roman" w:hAnsi="Times New Roman"/>
          <w:sz w:val="24"/>
          <w:szCs w:val="24"/>
        </w:rPr>
        <w:t xml:space="preserve"> and the youth organisation </w:t>
      </w:r>
      <w:proofErr w:type="spellStart"/>
      <w:r w:rsidRPr="00D23B78">
        <w:rPr>
          <w:rFonts w:ascii="Times New Roman" w:hAnsi="Times New Roman"/>
          <w:i/>
          <w:sz w:val="24"/>
          <w:szCs w:val="24"/>
        </w:rPr>
        <w:t>Fianna</w:t>
      </w:r>
      <w:proofErr w:type="spellEnd"/>
      <w:r w:rsidRPr="00D23B78">
        <w:rPr>
          <w:rFonts w:ascii="Times New Roman" w:hAnsi="Times New Roman"/>
          <w:i/>
          <w:sz w:val="24"/>
          <w:szCs w:val="24"/>
        </w:rPr>
        <w:t xml:space="preserve"> Na </w:t>
      </w:r>
      <w:proofErr w:type="spellStart"/>
      <w:r w:rsidRPr="00D23B78">
        <w:rPr>
          <w:rFonts w:ascii="Times New Roman" w:hAnsi="Times New Roman"/>
          <w:i/>
          <w:sz w:val="24"/>
          <w:szCs w:val="24"/>
        </w:rPr>
        <w:t>h’Eireann</w:t>
      </w:r>
      <w:proofErr w:type="spellEnd"/>
      <w:r w:rsidRPr="00D23B78">
        <w:rPr>
          <w:rFonts w:ascii="Times New Roman" w:hAnsi="Times New Roman"/>
          <w:i/>
          <w:sz w:val="24"/>
          <w:szCs w:val="24"/>
        </w:rPr>
        <w:t>.</w:t>
      </w:r>
      <w:r w:rsidRPr="00D23B78">
        <w:rPr>
          <w:rStyle w:val="FootnoteReference"/>
          <w:sz w:val="24"/>
          <w:szCs w:val="24"/>
        </w:rPr>
        <w:footnoteReference w:id="4"/>
      </w:r>
      <w:r w:rsidRPr="00D23B78">
        <w:rPr>
          <w:rFonts w:ascii="Times New Roman" w:hAnsi="Times New Roman"/>
          <w:i/>
          <w:sz w:val="24"/>
          <w:szCs w:val="24"/>
        </w:rPr>
        <w:t xml:space="preserve"> </w:t>
      </w:r>
      <w:r w:rsidRPr="008974D6">
        <w:rPr>
          <w:rFonts w:ascii="Times New Roman" w:hAnsi="Times New Roman"/>
          <w:sz w:val="24"/>
          <w:szCs w:val="24"/>
        </w:rPr>
        <w:t>The parties were banned</w:t>
      </w:r>
      <w:r>
        <w:rPr>
          <w:rFonts w:ascii="Times New Roman" w:hAnsi="Times New Roman"/>
          <w:i/>
          <w:sz w:val="24"/>
          <w:szCs w:val="24"/>
        </w:rPr>
        <w:t xml:space="preserve"> </w:t>
      </w:r>
      <w:r>
        <w:rPr>
          <w:rFonts w:ascii="Times New Roman" w:hAnsi="Times New Roman"/>
          <w:sz w:val="24"/>
          <w:szCs w:val="24"/>
        </w:rPr>
        <w:t xml:space="preserve">in </w:t>
      </w:r>
      <w:r w:rsidRPr="006908B1">
        <w:rPr>
          <w:rFonts w:ascii="Times New Roman" w:hAnsi="Times New Roman"/>
          <w:sz w:val="24"/>
          <w:szCs w:val="24"/>
        </w:rPr>
        <w:t>the midst of ‘a brief but bloody challenge to Unionist supremacy’ by republicans (</w:t>
      </w:r>
      <w:r w:rsidRPr="002D36A2">
        <w:rPr>
          <w:rFonts w:ascii="Times New Roman" w:hAnsi="Times New Roman"/>
          <w:sz w:val="24"/>
          <w:szCs w:val="24"/>
        </w:rPr>
        <w:t>Fitzpatrick,</w:t>
      </w:r>
      <w:r w:rsidRPr="006908B1">
        <w:rPr>
          <w:rFonts w:ascii="Times New Roman" w:hAnsi="Times New Roman"/>
          <w:sz w:val="24"/>
          <w:szCs w:val="24"/>
        </w:rPr>
        <w:t xml:space="preserve"> 1998, 117, Patterson, 2006, 3). From its foundation the </w:t>
      </w:r>
      <w:r w:rsidRPr="006908B1">
        <w:rPr>
          <w:rFonts w:ascii="Times New Roman" w:hAnsi="Times New Roman"/>
          <w:sz w:val="24"/>
          <w:szCs w:val="24"/>
        </w:rPr>
        <w:lastRenderedPageBreak/>
        <w:t xml:space="preserve">Northern Ireland state faced acute problems of sectarianism, political violence, rioting, arson and disorder. Some 550 were murdered in the province during the two years ending in July 1922, including 80 members of the </w:t>
      </w:r>
      <w:r>
        <w:rPr>
          <w:rFonts w:ascii="Times New Roman" w:hAnsi="Times New Roman"/>
          <w:sz w:val="24"/>
          <w:szCs w:val="24"/>
        </w:rPr>
        <w:t>C</w:t>
      </w:r>
      <w:r w:rsidRPr="006908B1">
        <w:rPr>
          <w:rFonts w:ascii="Times New Roman" w:hAnsi="Times New Roman"/>
          <w:sz w:val="24"/>
          <w:szCs w:val="24"/>
        </w:rPr>
        <w:t xml:space="preserve">rown </w:t>
      </w:r>
      <w:r>
        <w:rPr>
          <w:rFonts w:ascii="Times New Roman" w:hAnsi="Times New Roman"/>
          <w:sz w:val="24"/>
          <w:szCs w:val="24"/>
        </w:rPr>
        <w:t>F</w:t>
      </w:r>
      <w:r w:rsidRPr="006908B1">
        <w:rPr>
          <w:rFonts w:ascii="Times New Roman" w:hAnsi="Times New Roman"/>
          <w:sz w:val="24"/>
          <w:szCs w:val="24"/>
        </w:rPr>
        <w:t xml:space="preserve">orces, 300 </w:t>
      </w:r>
      <w:r>
        <w:rPr>
          <w:rFonts w:ascii="Times New Roman" w:hAnsi="Times New Roman"/>
          <w:sz w:val="24"/>
          <w:szCs w:val="24"/>
        </w:rPr>
        <w:t>C</w:t>
      </w:r>
      <w:r w:rsidRPr="006908B1">
        <w:rPr>
          <w:rFonts w:ascii="Times New Roman" w:hAnsi="Times New Roman"/>
          <w:sz w:val="24"/>
          <w:szCs w:val="24"/>
        </w:rPr>
        <w:t xml:space="preserve">atholic </w:t>
      </w:r>
      <w:r>
        <w:rPr>
          <w:rFonts w:ascii="Times New Roman" w:hAnsi="Times New Roman"/>
          <w:sz w:val="24"/>
          <w:szCs w:val="24"/>
        </w:rPr>
        <w:t>C</w:t>
      </w:r>
      <w:r w:rsidRPr="006908B1">
        <w:rPr>
          <w:rFonts w:ascii="Times New Roman" w:hAnsi="Times New Roman"/>
          <w:sz w:val="24"/>
          <w:szCs w:val="24"/>
        </w:rPr>
        <w:t xml:space="preserve">ivilians and rebels and 170 protestants (Fitzpatrick, 1998, 119). May 1922 was a highpoint, with around 80 people killed (ibid). In this ‘sectarian civil war’ the IRA was a key player. From September 1921, it ‘disregarded the truce and became involved in attacks on the police and in the ‘defence’ of northern Catholics (Fitzpatrick, 1998, 118). From 17 May 1922, just five days from publication of the order proscribing the associations, ‘the IRA initiated a military campaign against the six counties with the clandestine but explicit connivance of the [Republican] national army’ (ibid,122). </w:t>
      </w:r>
    </w:p>
    <w:p w:rsidR="003A0DD2" w:rsidRDefault="003A0DD2" w:rsidP="003A0DD2">
      <w:pPr>
        <w:spacing w:line="360" w:lineRule="auto"/>
        <w:rPr>
          <w:rFonts w:ascii="Times New Roman" w:hAnsi="Times New Roman"/>
          <w:sz w:val="24"/>
          <w:szCs w:val="24"/>
        </w:rPr>
      </w:pPr>
      <w:r w:rsidRPr="00D23B78">
        <w:rPr>
          <w:rFonts w:ascii="Times New Roman" w:hAnsi="Times New Roman"/>
          <w:sz w:val="24"/>
          <w:szCs w:val="24"/>
        </w:rPr>
        <w:t xml:space="preserve">In 1931 </w:t>
      </w:r>
      <w:proofErr w:type="spellStart"/>
      <w:r w:rsidRPr="00A56438">
        <w:rPr>
          <w:rFonts w:ascii="Times New Roman" w:hAnsi="Times New Roman"/>
          <w:i/>
          <w:sz w:val="24"/>
          <w:szCs w:val="24"/>
        </w:rPr>
        <w:t>Saor</w:t>
      </w:r>
      <w:proofErr w:type="spellEnd"/>
      <w:r w:rsidRPr="00A56438">
        <w:rPr>
          <w:rFonts w:ascii="Times New Roman" w:hAnsi="Times New Roman"/>
          <w:i/>
          <w:sz w:val="24"/>
          <w:szCs w:val="24"/>
        </w:rPr>
        <w:t xml:space="preserve"> Éire</w:t>
      </w:r>
      <w:r w:rsidRPr="00D23B78">
        <w:rPr>
          <w:rFonts w:ascii="Times New Roman" w:hAnsi="Times New Roman"/>
          <w:sz w:val="24"/>
          <w:szCs w:val="24"/>
        </w:rPr>
        <w:t xml:space="preserve">, a socialist party launched by the IRA leadership in place of </w:t>
      </w:r>
      <w:r w:rsidRPr="00265976">
        <w:rPr>
          <w:rFonts w:ascii="Times New Roman" w:hAnsi="Times New Roman"/>
          <w:i/>
          <w:sz w:val="24"/>
          <w:szCs w:val="24"/>
        </w:rPr>
        <w:t xml:space="preserve">Sinn </w:t>
      </w:r>
      <w:proofErr w:type="spellStart"/>
      <w:r w:rsidRPr="00265976">
        <w:rPr>
          <w:rFonts w:ascii="Times New Roman" w:hAnsi="Times New Roman"/>
          <w:i/>
          <w:sz w:val="24"/>
          <w:szCs w:val="24"/>
        </w:rPr>
        <w:t>Féin</w:t>
      </w:r>
      <w:proofErr w:type="spellEnd"/>
      <w:r w:rsidRPr="00D23B78">
        <w:rPr>
          <w:rFonts w:ascii="Times New Roman" w:hAnsi="Times New Roman"/>
          <w:sz w:val="24"/>
          <w:szCs w:val="24"/>
        </w:rPr>
        <w:t>, was proscribed (Hanley, 2002, 179-80).</w:t>
      </w:r>
      <w:r w:rsidRPr="00D23B78">
        <w:rPr>
          <w:rStyle w:val="FootnoteReference"/>
          <w:sz w:val="24"/>
          <w:szCs w:val="24"/>
        </w:rPr>
        <w:footnoteReference w:id="5"/>
      </w:r>
      <w:r w:rsidRPr="00D23B78">
        <w:rPr>
          <w:rFonts w:ascii="Times New Roman" w:hAnsi="Times New Roman"/>
          <w:sz w:val="24"/>
          <w:szCs w:val="24"/>
        </w:rPr>
        <w:t xml:space="preserve"> In 1936, republican efforts to form a new political party under the name of </w:t>
      </w:r>
      <w:proofErr w:type="spellStart"/>
      <w:r w:rsidRPr="00D23B78">
        <w:rPr>
          <w:rFonts w:ascii="Times New Roman" w:hAnsi="Times New Roman"/>
          <w:i/>
          <w:sz w:val="24"/>
          <w:szCs w:val="24"/>
        </w:rPr>
        <w:t>Cumann</w:t>
      </w:r>
      <w:proofErr w:type="spellEnd"/>
      <w:r w:rsidRPr="00D23B78">
        <w:rPr>
          <w:rFonts w:ascii="Times New Roman" w:hAnsi="Times New Roman"/>
          <w:i/>
          <w:sz w:val="24"/>
          <w:szCs w:val="24"/>
        </w:rPr>
        <w:t xml:space="preserve"> </w:t>
      </w:r>
      <w:proofErr w:type="spellStart"/>
      <w:r w:rsidRPr="00D23B78">
        <w:rPr>
          <w:rFonts w:ascii="Times New Roman" w:hAnsi="Times New Roman"/>
          <w:i/>
          <w:sz w:val="24"/>
          <w:szCs w:val="24"/>
        </w:rPr>
        <w:t>Poblacta</w:t>
      </w:r>
      <w:proofErr w:type="spellEnd"/>
      <w:r w:rsidRPr="00D23B78">
        <w:rPr>
          <w:rFonts w:ascii="Times New Roman" w:hAnsi="Times New Roman"/>
          <w:i/>
          <w:sz w:val="24"/>
          <w:szCs w:val="24"/>
        </w:rPr>
        <w:t xml:space="preserve"> </w:t>
      </w:r>
      <w:proofErr w:type="spellStart"/>
      <w:r w:rsidRPr="00D23B78">
        <w:rPr>
          <w:rFonts w:ascii="Times New Roman" w:hAnsi="Times New Roman"/>
          <w:i/>
          <w:sz w:val="24"/>
          <w:szCs w:val="24"/>
        </w:rPr>
        <w:t>na</w:t>
      </w:r>
      <w:proofErr w:type="spellEnd"/>
      <w:r w:rsidRPr="00D23B78">
        <w:rPr>
          <w:rFonts w:ascii="Times New Roman" w:hAnsi="Times New Roman"/>
          <w:i/>
          <w:sz w:val="24"/>
          <w:szCs w:val="24"/>
        </w:rPr>
        <w:t xml:space="preserve"> </w:t>
      </w:r>
      <w:proofErr w:type="spellStart"/>
      <w:r w:rsidRPr="00D23B78">
        <w:rPr>
          <w:rFonts w:ascii="Times New Roman" w:hAnsi="Times New Roman"/>
          <w:i/>
          <w:sz w:val="24"/>
          <w:szCs w:val="24"/>
        </w:rPr>
        <w:t>h’Eireann</w:t>
      </w:r>
      <w:proofErr w:type="spellEnd"/>
      <w:r w:rsidRPr="00D23B78">
        <w:rPr>
          <w:rFonts w:ascii="Times New Roman" w:hAnsi="Times New Roman"/>
          <w:sz w:val="24"/>
          <w:szCs w:val="24"/>
        </w:rPr>
        <w:t xml:space="preserve"> (Donoghue 1998, 1112) were quickly thwarted when it was also added to the list of proscribed organisations.</w:t>
      </w:r>
      <w:r w:rsidRPr="00D23B78">
        <w:rPr>
          <w:rStyle w:val="FootnoteReference"/>
          <w:sz w:val="24"/>
          <w:szCs w:val="24"/>
        </w:rPr>
        <w:footnoteReference w:id="6"/>
      </w:r>
      <w:r w:rsidRPr="00D23B78">
        <w:rPr>
          <w:rFonts w:ascii="Times New Roman" w:hAnsi="Times New Roman"/>
          <w:sz w:val="24"/>
          <w:szCs w:val="24"/>
        </w:rPr>
        <w:t xml:space="preserve">  </w:t>
      </w:r>
    </w:p>
    <w:p w:rsidR="003A0DD2" w:rsidRDefault="003A0DD2" w:rsidP="003A0DD2">
      <w:pPr>
        <w:spacing w:line="360" w:lineRule="auto"/>
        <w:rPr>
          <w:rFonts w:ascii="Times New Roman" w:hAnsi="Times New Roman"/>
          <w:sz w:val="24"/>
          <w:szCs w:val="24"/>
        </w:rPr>
      </w:pPr>
      <w:r>
        <w:rPr>
          <w:rFonts w:ascii="Times New Roman" w:hAnsi="Times New Roman"/>
          <w:sz w:val="24"/>
          <w:szCs w:val="24"/>
        </w:rPr>
        <w:t>Sinn Fein probably escaped proscription during the first decades of the Northern Irish state because d</w:t>
      </w:r>
      <w:r w:rsidRPr="006908B1">
        <w:rPr>
          <w:rFonts w:ascii="Times New Roman" w:hAnsi="Times New Roman"/>
          <w:sz w:val="24"/>
          <w:szCs w:val="24"/>
        </w:rPr>
        <w:t xml:space="preserve">espite </w:t>
      </w:r>
      <w:r>
        <w:rPr>
          <w:rFonts w:ascii="Times New Roman" w:hAnsi="Times New Roman"/>
          <w:sz w:val="24"/>
          <w:szCs w:val="24"/>
        </w:rPr>
        <w:t xml:space="preserve">its </w:t>
      </w:r>
      <w:r w:rsidRPr="006908B1">
        <w:rPr>
          <w:rFonts w:ascii="Times New Roman" w:hAnsi="Times New Roman"/>
          <w:sz w:val="24"/>
          <w:szCs w:val="24"/>
        </w:rPr>
        <w:t xml:space="preserve">electoral victory in the 1918 Westminster election and inauguration of the </w:t>
      </w:r>
      <w:proofErr w:type="spellStart"/>
      <w:r w:rsidRPr="00DA53B0">
        <w:rPr>
          <w:rFonts w:ascii="Times New Roman" w:hAnsi="Times New Roman"/>
          <w:i/>
          <w:sz w:val="24"/>
          <w:szCs w:val="24"/>
        </w:rPr>
        <w:t>Dáil</w:t>
      </w:r>
      <w:proofErr w:type="spellEnd"/>
      <w:r w:rsidRPr="00DA53B0">
        <w:rPr>
          <w:rFonts w:ascii="Times New Roman" w:hAnsi="Times New Roman"/>
          <w:i/>
          <w:sz w:val="24"/>
          <w:szCs w:val="24"/>
        </w:rPr>
        <w:t xml:space="preserve"> </w:t>
      </w:r>
      <w:proofErr w:type="spellStart"/>
      <w:r w:rsidRPr="00DA53B0">
        <w:rPr>
          <w:rFonts w:ascii="Times New Roman" w:hAnsi="Times New Roman"/>
          <w:i/>
          <w:sz w:val="24"/>
          <w:szCs w:val="24"/>
        </w:rPr>
        <w:t>Éireann</w:t>
      </w:r>
      <w:proofErr w:type="spellEnd"/>
      <w:r w:rsidRPr="006908B1">
        <w:rPr>
          <w:rFonts w:ascii="Times New Roman" w:hAnsi="Times New Roman"/>
          <w:sz w:val="24"/>
          <w:szCs w:val="24"/>
        </w:rPr>
        <w:t xml:space="preserve"> by elected Sinn Fein representatives,</w:t>
      </w:r>
      <w:r>
        <w:rPr>
          <w:rFonts w:ascii="Times New Roman" w:hAnsi="Times New Roman"/>
          <w:sz w:val="24"/>
          <w:szCs w:val="24"/>
        </w:rPr>
        <w:t xml:space="preserve"> </w:t>
      </w:r>
      <w:r w:rsidRPr="006908B1">
        <w:rPr>
          <w:rFonts w:ascii="Times New Roman" w:hAnsi="Times New Roman"/>
          <w:sz w:val="24"/>
          <w:szCs w:val="24"/>
        </w:rPr>
        <w:t>‘most of the subsequent period</w:t>
      </w:r>
      <w:r>
        <w:rPr>
          <w:rFonts w:ascii="Times New Roman" w:hAnsi="Times New Roman"/>
          <w:sz w:val="24"/>
          <w:szCs w:val="24"/>
        </w:rPr>
        <w:t xml:space="preserve"> [until the 1980s]</w:t>
      </w:r>
      <w:r w:rsidRPr="006908B1">
        <w:rPr>
          <w:rFonts w:ascii="Times New Roman" w:hAnsi="Times New Roman"/>
          <w:sz w:val="24"/>
          <w:szCs w:val="24"/>
        </w:rPr>
        <w:t xml:space="preserve">…had been  marked by isolation and irrelevance’ </w:t>
      </w:r>
      <w:r w:rsidRPr="007A74FD">
        <w:rPr>
          <w:rFonts w:ascii="Times New Roman" w:hAnsi="Times New Roman"/>
          <w:sz w:val="24"/>
          <w:szCs w:val="24"/>
        </w:rPr>
        <w:t>(</w:t>
      </w:r>
      <w:proofErr w:type="spellStart"/>
      <w:r w:rsidRPr="007A74FD">
        <w:rPr>
          <w:rFonts w:ascii="Times New Roman" w:hAnsi="Times New Roman"/>
          <w:sz w:val="24"/>
          <w:szCs w:val="24"/>
        </w:rPr>
        <w:t>Tonge</w:t>
      </w:r>
      <w:proofErr w:type="spellEnd"/>
      <w:r w:rsidRPr="007A74FD">
        <w:rPr>
          <w:rFonts w:ascii="Times New Roman" w:hAnsi="Times New Roman"/>
          <w:sz w:val="24"/>
          <w:szCs w:val="24"/>
        </w:rPr>
        <w:t>, 2006, 102</w:t>
      </w:r>
      <w:r w:rsidR="007A74FD" w:rsidRPr="007A74FD">
        <w:rPr>
          <w:rFonts w:ascii="Times New Roman" w:hAnsi="Times New Roman"/>
          <w:sz w:val="24"/>
          <w:szCs w:val="24"/>
        </w:rPr>
        <w:t>)</w:t>
      </w:r>
      <w:r w:rsidR="007A74FD">
        <w:rPr>
          <w:rFonts w:ascii="Times New Roman" w:hAnsi="Times New Roman"/>
          <w:sz w:val="24"/>
          <w:szCs w:val="24"/>
        </w:rPr>
        <w:t>.</w:t>
      </w:r>
      <w:r w:rsidRPr="006908B1">
        <w:rPr>
          <w:rFonts w:ascii="Times New Roman" w:hAnsi="Times New Roman"/>
          <w:sz w:val="24"/>
          <w:szCs w:val="24"/>
        </w:rPr>
        <w:t xml:space="preserve"> By the 1940s, Sinn Fein was ‘all but extinct’ but it came under direct IRA orders in 1948, which gave it ‘a role as a “political ancillary” to armed republicans’ </w:t>
      </w:r>
      <w:r w:rsidRPr="007A74FD">
        <w:rPr>
          <w:rFonts w:ascii="Times New Roman" w:hAnsi="Times New Roman"/>
          <w:sz w:val="24"/>
          <w:szCs w:val="24"/>
        </w:rPr>
        <w:t>(</w:t>
      </w:r>
      <w:proofErr w:type="spellStart"/>
      <w:r w:rsidRPr="007A74FD">
        <w:rPr>
          <w:rFonts w:ascii="Times New Roman" w:hAnsi="Times New Roman"/>
          <w:sz w:val="24"/>
          <w:szCs w:val="24"/>
        </w:rPr>
        <w:t>Tonge</w:t>
      </w:r>
      <w:proofErr w:type="spellEnd"/>
      <w:r w:rsidRPr="007A74FD">
        <w:rPr>
          <w:rFonts w:ascii="Times New Roman" w:hAnsi="Times New Roman"/>
          <w:sz w:val="24"/>
          <w:szCs w:val="24"/>
        </w:rPr>
        <w:t>, 200</w:t>
      </w:r>
      <w:r w:rsidR="007A74FD">
        <w:rPr>
          <w:rFonts w:ascii="Times New Roman" w:hAnsi="Times New Roman"/>
          <w:sz w:val="24"/>
          <w:szCs w:val="24"/>
        </w:rPr>
        <w:t xml:space="preserve">6, 103). </w:t>
      </w:r>
    </w:p>
    <w:p w:rsidR="003A0DD2" w:rsidRPr="006908B1" w:rsidRDefault="003A0DD2" w:rsidP="003A0DD2">
      <w:pPr>
        <w:spacing w:line="360" w:lineRule="auto"/>
        <w:rPr>
          <w:rFonts w:ascii="Times New Roman" w:hAnsi="Times New Roman"/>
          <w:sz w:val="24"/>
          <w:szCs w:val="24"/>
        </w:rPr>
      </w:pPr>
      <w:r w:rsidRPr="00265976">
        <w:rPr>
          <w:rFonts w:ascii="Times New Roman" w:hAnsi="Times New Roman"/>
          <w:i/>
          <w:sz w:val="24"/>
          <w:szCs w:val="24"/>
        </w:rPr>
        <w:t>Sinn Fein</w:t>
      </w:r>
      <w:r>
        <w:rPr>
          <w:rFonts w:ascii="Times New Roman" w:hAnsi="Times New Roman"/>
          <w:i/>
          <w:sz w:val="24"/>
          <w:szCs w:val="24"/>
        </w:rPr>
        <w:t xml:space="preserve"> </w:t>
      </w:r>
      <w:r w:rsidRPr="00D23B78">
        <w:rPr>
          <w:rFonts w:ascii="Times New Roman" w:hAnsi="Times New Roman"/>
          <w:sz w:val="24"/>
          <w:szCs w:val="24"/>
        </w:rPr>
        <w:t xml:space="preserve">was not formally added to the list of unlawful associations </w:t>
      </w:r>
      <w:r>
        <w:rPr>
          <w:rFonts w:ascii="Times New Roman" w:hAnsi="Times New Roman"/>
          <w:sz w:val="24"/>
          <w:szCs w:val="24"/>
        </w:rPr>
        <w:t xml:space="preserve">under Northern Ireland’s Special Act </w:t>
      </w:r>
      <w:r w:rsidRPr="00D23B78">
        <w:rPr>
          <w:rFonts w:ascii="Times New Roman" w:hAnsi="Times New Roman"/>
          <w:sz w:val="24"/>
          <w:szCs w:val="24"/>
        </w:rPr>
        <w:t>until 1956</w:t>
      </w:r>
      <w:r>
        <w:rPr>
          <w:rStyle w:val="FootnoteReference"/>
          <w:sz w:val="24"/>
          <w:szCs w:val="24"/>
        </w:rPr>
        <w:footnoteReference w:id="7"/>
      </w:r>
      <w:r>
        <w:rPr>
          <w:rFonts w:ascii="Times New Roman" w:hAnsi="Times New Roman"/>
          <w:sz w:val="24"/>
          <w:szCs w:val="24"/>
        </w:rPr>
        <w:t xml:space="preserve">. The Northern Ireland </w:t>
      </w:r>
      <w:r w:rsidRPr="006908B1">
        <w:rPr>
          <w:rFonts w:ascii="Times New Roman" w:hAnsi="Times New Roman"/>
          <w:sz w:val="24"/>
          <w:szCs w:val="24"/>
        </w:rPr>
        <w:t xml:space="preserve">government’s decision to ban </w:t>
      </w:r>
      <w:r w:rsidRPr="00DA53B0">
        <w:rPr>
          <w:rFonts w:ascii="Times New Roman" w:hAnsi="Times New Roman"/>
          <w:i/>
          <w:sz w:val="24"/>
          <w:szCs w:val="24"/>
        </w:rPr>
        <w:t>Sinn Fein</w:t>
      </w:r>
      <w:r w:rsidRPr="006908B1">
        <w:rPr>
          <w:rFonts w:ascii="Times New Roman" w:hAnsi="Times New Roman"/>
          <w:sz w:val="24"/>
          <w:szCs w:val="24"/>
        </w:rPr>
        <w:t xml:space="preserve"> was preceded by a short lived revival in the party’s fortunes, when it won two seats and 23.6% of the vote in the 1955 </w:t>
      </w:r>
      <w:proofErr w:type="spellStart"/>
      <w:r w:rsidRPr="006908B1">
        <w:rPr>
          <w:rFonts w:ascii="Times New Roman" w:hAnsi="Times New Roman"/>
          <w:sz w:val="24"/>
          <w:szCs w:val="24"/>
        </w:rPr>
        <w:t>Westminister</w:t>
      </w:r>
      <w:proofErr w:type="spellEnd"/>
      <w:r w:rsidRPr="006908B1">
        <w:rPr>
          <w:rFonts w:ascii="Times New Roman" w:hAnsi="Times New Roman"/>
          <w:sz w:val="24"/>
          <w:szCs w:val="24"/>
        </w:rPr>
        <w:t xml:space="preserve"> election, and more importantly,</w:t>
      </w:r>
      <w:r>
        <w:rPr>
          <w:rFonts w:ascii="Times New Roman" w:hAnsi="Times New Roman"/>
          <w:sz w:val="24"/>
          <w:szCs w:val="24"/>
        </w:rPr>
        <w:t xml:space="preserve"> </w:t>
      </w:r>
      <w:r w:rsidRPr="006908B1">
        <w:rPr>
          <w:rFonts w:ascii="Times New Roman" w:hAnsi="Times New Roman"/>
          <w:sz w:val="24"/>
          <w:szCs w:val="24"/>
        </w:rPr>
        <w:t xml:space="preserve">the onset of the IRA’s 1956-62 Border Campaign (Operation Harvest). Based on guerrilla tactics, the </w:t>
      </w:r>
      <w:r>
        <w:rPr>
          <w:rFonts w:ascii="Times New Roman" w:hAnsi="Times New Roman"/>
          <w:sz w:val="24"/>
          <w:szCs w:val="24"/>
        </w:rPr>
        <w:t>c</w:t>
      </w:r>
      <w:r w:rsidRPr="006908B1">
        <w:rPr>
          <w:rFonts w:ascii="Times New Roman" w:hAnsi="Times New Roman"/>
          <w:sz w:val="24"/>
          <w:szCs w:val="24"/>
        </w:rPr>
        <w:t xml:space="preserve">ampaign employed flying columns of volunteers from the Republic </w:t>
      </w:r>
      <w:r>
        <w:rPr>
          <w:rFonts w:ascii="Times New Roman" w:hAnsi="Times New Roman"/>
          <w:sz w:val="24"/>
          <w:szCs w:val="24"/>
        </w:rPr>
        <w:t xml:space="preserve">of Ireland </w:t>
      </w:r>
      <w:r w:rsidRPr="006908B1">
        <w:rPr>
          <w:rFonts w:ascii="Times New Roman" w:hAnsi="Times New Roman"/>
          <w:sz w:val="24"/>
          <w:szCs w:val="24"/>
        </w:rPr>
        <w:t xml:space="preserve">to attack military installations, communications and public property in the north with a view to ‘paralysing the place’ and establishing ‘liberated areas’ (English, 2003, 73; </w:t>
      </w:r>
      <w:proofErr w:type="spellStart"/>
      <w:r w:rsidRPr="006908B1">
        <w:rPr>
          <w:rFonts w:ascii="Times New Roman" w:hAnsi="Times New Roman"/>
          <w:sz w:val="24"/>
          <w:szCs w:val="24"/>
        </w:rPr>
        <w:t>Coogan</w:t>
      </w:r>
      <w:proofErr w:type="spellEnd"/>
      <w:r w:rsidRPr="006908B1">
        <w:rPr>
          <w:rFonts w:ascii="Times New Roman" w:hAnsi="Times New Roman"/>
          <w:sz w:val="24"/>
          <w:szCs w:val="24"/>
        </w:rPr>
        <w:t xml:space="preserve">, 2000, 298-329). It was preceded by a series of arms raids in Northern Ireland and England and from August 1956 training for IRA volunteers (English, 2003, 72-73; </w:t>
      </w:r>
      <w:proofErr w:type="spellStart"/>
      <w:r w:rsidRPr="006908B1">
        <w:rPr>
          <w:rFonts w:ascii="Times New Roman" w:hAnsi="Times New Roman"/>
          <w:sz w:val="24"/>
          <w:szCs w:val="24"/>
        </w:rPr>
        <w:t>Coogan</w:t>
      </w:r>
      <w:proofErr w:type="spellEnd"/>
      <w:r w:rsidRPr="006908B1">
        <w:rPr>
          <w:rFonts w:ascii="Times New Roman" w:hAnsi="Times New Roman"/>
          <w:sz w:val="24"/>
          <w:szCs w:val="24"/>
        </w:rPr>
        <w:t xml:space="preserve">, 2000, 302). Sinn Fein was banned just nine days after the Campaign began with attacks </w:t>
      </w:r>
      <w:r w:rsidRPr="006908B1">
        <w:rPr>
          <w:rFonts w:ascii="Times New Roman" w:hAnsi="Times New Roman"/>
          <w:sz w:val="24"/>
          <w:szCs w:val="24"/>
        </w:rPr>
        <w:lastRenderedPageBreak/>
        <w:t xml:space="preserve">including an explosion in Derry and an armed raid on Gough Barracks in Armagh (12 December 1956) (English, 2003, 73; </w:t>
      </w:r>
      <w:proofErr w:type="spellStart"/>
      <w:r w:rsidRPr="006908B1">
        <w:rPr>
          <w:rFonts w:ascii="Times New Roman" w:hAnsi="Times New Roman"/>
          <w:sz w:val="24"/>
          <w:szCs w:val="24"/>
        </w:rPr>
        <w:t>Coogan</w:t>
      </w:r>
      <w:proofErr w:type="spellEnd"/>
      <w:r w:rsidRPr="006908B1">
        <w:rPr>
          <w:rFonts w:ascii="Times New Roman" w:hAnsi="Times New Roman"/>
          <w:sz w:val="24"/>
          <w:szCs w:val="24"/>
        </w:rPr>
        <w:t>, 2000, 305). The campaign ended in 1962, at a cost of 17 lives and millions in property damage and increased security costs (</w:t>
      </w:r>
      <w:proofErr w:type="spellStart"/>
      <w:r w:rsidRPr="006908B1">
        <w:rPr>
          <w:rFonts w:ascii="Times New Roman" w:hAnsi="Times New Roman"/>
          <w:sz w:val="24"/>
          <w:szCs w:val="24"/>
        </w:rPr>
        <w:t>Coogan</w:t>
      </w:r>
      <w:proofErr w:type="spellEnd"/>
      <w:r w:rsidRPr="006908B1">
        <w:rPr>
          <w:rFonts w:ascii="Times New Roman" w:hAnsi="Times New Roman"/>
          <w:sz w:val="24"/>
          <w:szCs w:val="24"/>
        </w:rPr>
        <w:t xml:space="preserve">, 2000, 303) without obtaining its objectives or support of Irish nationalists north or south (English, 2003, 75; </w:t>
      </w:r>
      <w:proofErr w:type="spellStart"/>
      <w:r w:rsidRPr="006908B1">
        <w:rPr>
          <w:rFonts w:ascii="Times New Roman" w:hAnsi="Times New Roman"/>
          <w:sz w:val="24"/>
          <w:szCs w:val="24"/>
        </w:rPr>
        <w:t>Coogan</w:t>
      </w:r>
      <w:proofErr w:type="spellEnd"/>
      <w:r w:rsidRPr="006908B1">
        <w:rPr>
          <w:rFonts w:ascii="Times New Roman" w:hAnsi="Times New Roman"/>
          <w:sz w:val="24"/>
          <w:szCs w:val="24"/>
        </w:rPr>
        <w:t>, 2003, 329).</w:t>
      </w:r>
    </w:p>
    <w:p w:rsidR="003A0DD2" w:rsidRPr="006908B1" w:rsidRDefault="003A0DD2" w:rsidP="003A0DD2">
      <w:pPr>
        <w:spacing w:before="240" w:line="360" w:lineRule="auto"/>
        <w:rPr>
          <w:rFonts w:ascii="Times New Roman" w:hAnsi="Times New Roman"/>
          <w:sz w:val="24"/>
          <w:szCs w:val="24"/>
        </w:rPr>
      </w:pPr>
      <w:r w:rsidRPr="006908B1">
        <w:rPr>
          <w:rFonts w:ascii="Times New Roman" w:hAnsi="Times New Roman"/>
          <w:sz w:val="24"/>
          <w:szCs w:val="24"/>
        </w:rPr>
        <w:t xml:space="preserve">At the same time as they banned Sinn Fein, the Northern Ireland government banned </w:t>
      </w:r>
      <w:proofErr w:type="spellStart"/>
      <w:r w:rsidRPr="006908B1">
        <w:rPr>
          <w:rFonts w:ascii="Times New Roman" w:hAnsi="Times New Roman"/>
          <w:i/>
          <w:sz w:val="24"/>
          <w:szCs w:val="24"/>
        </w:rPr>
        <w:t>Fianna</w:t>
      </w:r>
      <w:proofErr w:type="spellEnd"/>
      <w:r w:rsidRPr="006908B1">
        <w:rPr>
          <w:rFonts w:ascii="Times New Roman" w:hAnsi="Times New Roman"/>
          <w:i/>
          <w:sz w:val="24"/>
          <w:szCs w:val="24"/>
        </w:rPr>
        <w:t xml:space="preserve"> </w:t>
      </w:r>
      <w:proofErr w:type="spellStart"/>
      <w:r w:rsidRPr="006908B1">
        <w:rPr>
          <w:rFonts w:ascii="Times New Roman" w:hAnsi="Times New Roman"/>
          <w:i/>
          <w:sz w:val="24"/>
          <w:szCs w:val="24"/>
        </w:rPr>
        <w:t>Uladh</w:t>
      </w:r>
      <w:proofErr w:type="spellEnd"/>
      <w:r w:rsidRPr="006908B1">
        <w:rPr>
          <w:rFonts w:ascii="Times New Roman" w:hAnsi="Times New Roman"/>
          <w:sz w:val="24"/>
          <w:szCs w:val="24"/>
        </w:rPr>
        <w:t xml:space="preserve">. This organisation was the political wing of the paramilitary group </w:t>
      </w:r>
      <w:proofErr w:type="spellStart"/>
      <w:r w:rsidRPr="006908B1">
        <w:rPr>
          <w:rFonts w:ascii="Times New Roman" w:hAnsi="Times New Roman"/>
          <w:i/>
          <w:sz w:val="24"/>
          <w:szCs w:val="24"/>
        </w:rPr>
        <w:t>Saor</w:t>
      </w:r>
      <w:proofErr w:type="spellEnd"/>
      <w:r w:rsidRPr="006908B1">
        <w:rPr>
          <w:rFonts w:ascii="Times New Roman" w:hAnsi="Times New Roman"/>
          <w:i/>
          <w:sz w:val="24"/>
          <w:szCs w:val="24"/>
        </w:rPr>
        <w:t xml:space="preserve"> </w:t>
      </w:r>
      <w:proofErr w:type="spellStart"/>
      <w:r w:rsidRPr="006908B1">
        <w:rPr>
          <w:rFonts w:ascii="Times New Roman" w:hAnsi="Times New Roman"/>
          <w:i/>
          <w:sz w:val="24"/>
          <w:szCs w:val="24"/>
        </w:rPr>
        <w:t>Uladh</w:t>
      </w:r>
      <w:proofErr w:type="spellEnd"/>
      <w:r w:rsidRPr="006908B1">
        <w:rPr>
          <w:rFonts w:ascii="Times New Roman" w:hAnsi="Times New Roman"/>
          <w:sz w:val="24"/>
          <w:szCs w:val="24"/>
        </w:rPr>
        <w:t xml:space="preserve"> led by Liam Kelly and set up after a split with the IRA (English, 2003, 72; </w:t>
      </w:r>
      <w:proofErr w:type="spellStart"/>
      <w:r w:rsidRPr="006908B1">
        <w:rPr>
          <w:rFonts w:ascii="Times New Roman" w:hAnsi="Times New Roman"/>
          <w:sz w:val="24"/>
          <w:szCs w:val="24"/>
        </w:rPr>
        <w:t>Coogan</w:t>
      </w:r>
      <w:proofErr w:type="spellEnd"/>
      <w:r w:rsidRPr="006908B1">
        <w:rPr>
          <w:rFonts w:ascii="Times New Roman" w:hAnsi="Times New Roman"/>
          <w:sz w:val="24"/>
          <w:szCs w:val="24"/>
        </w:rPr>
        <w:t xml:space="preserve">, 2000, 283). In contrast to the IRA it accepted the legitimacy of the Dublin parliament and focused exclusively on the occupied north (English, 2000, 72, </w:t>
      </w:r>
      <w:proofErr w:type="spellStart"/>
      <w:r w:rsidRPr="006908B1">
        <w:rPr>
          <w:rFonts w:ascii="Times New Roman" w:hAnsi="Times New Roman"/>
          <w:sz w:val="24"/>
          <w:szCs w:val="24"/>
        </w:rPr>
        <w:t>Coogan</w:t>
      </w:r>
      <w:proofErr w:type="spellEnd"/>
      <w:r w:rsidRPr="006908B1">
        <w:rPr>
          <w:rFonts w:ascii="Times New Roman" w:hAnsi="Times New Roman"/>
          <w:sz w:val="24"/>
          <w:szCs w:val="24"/>
        </w:rPr>
        <w:t xml:space="preserve">, 284). In November 1955 Kelly’s group attacked the </w:t>
      </w:r>
      <w:proofErr w:type="spellStart"/>
      <w:r w:rsidRPr="006908B1">
        <w:rPr>
          <w:rFonts w:ascii="Times New Roman" w:hAnsi="Times New Roman"/>
          <w:sz w:val="24"/>
          <w:szCs w:val="24"/>
        </w:rPr>
        <w:t>Roslea</w:t>
      </w:r>
      <w:proofErr w:type="spellEnd"/>
      <w:r w:rsidRPr="006908B1">
        <w:rPr>
          <w:rFonts w:ascii="Times New Roman" w:hAnsi="Times New Roman"/>
          <w:sz w:val="24"/>
          <w:szCs w:val="24"/>
        </w:rPr>
        <w:t xml:space="preserve"> RUC station in County Fermanagh and it was later involved in arson attacks on border posts (ibid). Liam Kelly was elected on an </w:t>
      </w:r>
      <w:proofErr w:type="spellStart"/>
      <w:r w:rsidRPr="006908B1">
        <w:rPr>
          <w:rFonts w:ascii="Times New Roman" w:hAnsi="Times New Roman"/>
          <w:sz w:val="24"/>
          <w:szCs w:val="24"/>
        </w:rPr>
        <w:t>abstentionist</w:t>
      </w:r>
      <w:proofErr w:type="spellEnd"/>
      <w:r w:rsidRPr="006908B1">
        <w:rPr>
          <w:rFonts w:ascii="Times New Roman" w:hAnsi="Times New Roman"/>
          <w:sz w:val="24"/>
          <w:szCs w:val="24"/>
        </w:rPr>
        <w:t xml:space="preserve"> platform to Stormont in 1953 as an Irish Anti partition League candidate representing Mid-Tyrone.</w:t>
      </w:r>
      <w:r w:rsidRPr="006908B1">
        <w:rPr>
          <w:rFonts w:ascii="Times New Roman" w:hAnsi="Times New Roman"/>
          <w:sz w:val="24"/>
          <w:szCs w:val="24"/>
          <w:highlight w:val="yellow"/>
        </w:rPr>
        <w:t xml:space="preserve"> </w:t>
      </w:r>
    </w:p>
    <w:p w:rsidR="003A0DD2" w:rsidRDefault="003A0DD2" w:rsidP="003A0DD2">
      <w:pPr>
        <w:spacing w:line="360" w:lineRule="auto"/>
        <w:rPr>
          <w:rFonts w:ascii="Times New Roman" w:hAnsi="Times New Roman"/>
          <w:sz w:val="24"/>
          <w:szCs w:val="24"/>
        </w:rPr>
      </w:pPr>
      <w:r>
        <w:rPr>
          <w:rFonts w:ascii="Times New Roman" w:hAnsi="Times New Roman"/>
          <w:sz w:val="24"/>
          <w:szCs w:val="24"/>
        </w:rPr>
        <w:t xml:space="preserve">The Republican Clubs, which were banned in 1967, were initially a successor party to Sinn Fein but eventually became </w:t>
      </w:r>
      <w:r w:rsidRPr="00D23B78">
        <w:rPr>
          <w:rFonts w:ascii="Times New Roman" w:hAnsi="Times New Roman"/>
          <w:sz w:val="24"/>
          <w:szCs w:val="24"/>
        </w:rPr>
        <w:t>the political wing of the Official IRA</w:t>
      </w:r>
      <w:r>
        <w:rPr>
          <w:rFonts w:ascii="Times New Roman" w:hAnsi="Times New Roman"/>
          <w:sz w:val="24"/>
          <w:szCs w:val="24"/>
        </w:rPr>
        <w:t>.</w:t>
      </w:r>
      <w:r w:rsidRPr="00D23B78">
        <w:rPr>
          <w:rStyle w:val="FootnoteReference"/>
          <w:sz w:val="24"/>
          <w:szCs w:val="24"/>
        </w:rPr>
        <w:footnoteReference w:id="8"/>
      </w:r>
      <w:r>
        <w:rPr>
          <w:rFonts w:ascii="Times New Roman" w:hAnsi="Times New Roman"/>
          <w:sz w:val="24"/>
          <w:szCs w:val="24"/>
        </w:rPr>
        <w:t xml:space="preserve"> </w:t>
      </w:r>
      <w:r w:rsidRPr="006908B1">
        <w:rPr>
          <w:rFonts w:ascii="Times New Roman" w:hAnsi="Times New Roman"/>
          <w:sz w:val="24"/>
          <w:szCs w:val="24"/>
        </w:rPr>
        <w:t>Unlike the proscriptions of the 1920s</w:t>
      </w:r>
      <w:r>
        <w:rPr>
          <w:rFonts w:ascii="Times New Roman" w:hAnsi="Times New Roman"/>
          <w:sz w:val="24"/>
          <w:szCs w:val="24"/>
        </w:rPr>
        <w:t>,</w:t>
      </w:r>
      <w:r w:rsidRPr="006908B1">
        <w:rPr>
          <w:rFonts w:ascii="Times New Roman" w:hAnsi="Times New Roman"/>
          <w:sz w:val="24"/>
          <w:szCs w:val="24"/>
        </w:rPr>
        <w:t xml:space="preserve"> and the 1956 proscription of </w:t>
      </w:r>
      <w:r w:rsidRPr="005855C9">
        <w:rPr>
          <w:rFonts w:ascii="Times New Roman" w:hAnsi="Times New Roman"/>
          <w:i/>
          <w:sz w:val="24"/>
          <w:szCs w:val="24"/>
        </w:rPr>
        <w:t xml:space="preserve">Sinn </w:t>
      </w:r>
      <w:proofErr w:type="spellStart"/>
      <w:r w:rsidRPr="005855C9">
        <w:rPr>
          <w:rFonts w:ascii="Times New Roman" w:hAnsi="Times New Roman"/>
          <w:i/>
          <w:sz w:val="24"/>
          <w:szCs w:val="24"/>
        </w:rPr>
        <w:t>Féin</w:t>
      </w:r>
      <w:proofErr w:type="spellEnd"/>
      <w:r>
        <w:rPr>
          <w:rFonts w:ascii="Times New Roman" w:hAnsi="Times New Roman"/>
          <w:sz w:val="24"/>
          <w:szCs w:val="24"/>
        </w:rPr>
        <w:t xml:space="preserve"> and </w:t>
      </w:r>
      <w:proofErr w:type="spellStart"/>
      <w:r w:rsidRPr="005855C9">
        <w:rPr>
          <w:rFonts w:ascii="Times New Roman" w:hAnsi="Times New Roman"/>
          <w:i/>
          <w:sz w:val="24"/>
          <w:szCs w:val="24"/>
        </w:rPr>
        <w:t>Fianna</w:t>
      </w:r>
      <w:proofErr w:type="spellEnd"/>
      <w:r w:rsidRPr="005855C9">
        <w:rPr>
          <w:rFonts w:ascii="Times New Roman" w:hAnsi="Times New Roman"/>
          <w:i/>
          <w:sz w:val="24"/>
          <w:szCs w:val="24"/>
        </w:rPr>
        <w:t xml:space="preserve"> </w:t>
      </w:r>
      <w:proofErr w:type="spellStart"/>
      <w:r w:rsidRPr="005855C9">
        <w:rPr>
          <w:rFonts w:ascii="Times New Roman" w:hAnsi="Times New Roman"/>
          <w:i/>
          <w:sz w:val="24"/>
          <w:szCs w:val="24"/>
        </w:rPr>
        <w:t>Uladh</w:t>
      </w:r>
      <w:proofErr w:type="spellEnd"/>
      <w:r w:rsidRPr="006908B1">
        <w:rPr>
          <w:rFonts w:ascii="Times New Roman" w:hAnsi="Times New Roman"/>
          <w:sz w:val="24"/>
          <w:szCs w:val="24"/>
        </w:rPr>
        <w:t xml:space="preserve">, Republican </w:t>
      </w:r>
      <w:r>
        <w:rPr>
          <w:rFonts w:ascii="Times New Roman" w:hAnsi="Times New Roman"/>
          <w:sz w:val="24"/>
          <w:szCs w:val="24"/>
        </w:rPr>
        <w:t>C</w:t>
      </w:r>
      <w:r w:rsidRPr="006908B1">
        <w:rPr>
          <w:rFonts w:ascii="Times New Roman" w:hAnsi="Times New Roman"/>
          <w:sz w:val="24"/>
          <w:szCs w:val="24"/>
        </w:rPr>
        <w:t xml:space="preserve">lubs were not banned during a period of </w:t>
      </w:r>
      <w:r>
        <w:rPr>
          <w:rFonts w:ascii="Times New Roman" w:hAnsi="Times New Roman"/>
          <w:sz w:val="24"/>
          <w:szCs w:val="24"/>
        </w:rPr>
        <w:t xml:space="preserve">serious </w:t>
      </w:r>
      <w:r w:rsidRPr="00CA7AF3">
        <w:rPr>
          <w:rFonts w:ascii="Times New Roman" w:hAnsi="Times New Roman"/>
          <w:sz w:val="24"/>
          <w:szCs w:val="24"/>
        </w:rPr>
        <w:t>civil disorder</w:t>
      </w:r>
      <w:r w:rsidRPr="006908B1">
        <w:rPr>
          <w:rFonts w:ascii="Times New Roman" w:hAnsi="Times New Roman"/>
          <w:sz w:val="24"/>
          <w:szCs w:val="24"/>
        </w:rPr>
        <w:t xml:space="preserve">, although the </w:t>
      </w:r>
      <w:r>
        <w:rPr>
          <w:rFonts w:ascii="Times New Roman" w:hAnsi="Times New Roman"/>
          <w:sz w:val="24"/>
          <w:szCs w:val="24"/>
        </w:rPr>
        <w:t xml:space="preserve">party ban </w:t>
      </w:r>
      <w:r w:rsidRPr="006908B1">
        <w:rPr>
          <w:rFonts w:ascii="Times New Roman" w:hAnsi="Times New Roman"/>
          <w:sz w:val="24"/>
          <w:szCs w:val="24"/>
        </w:rPr>
        <w:t xml:space="preserve">coincided with a ban ‘to preserve the peace’ </w:t>
      </w:r>
      <w:r w:rsidRPr="006908B1">
        <w:rPr>
          <w:rStyle w:val="FootnoteReference"/>
          <w:sz w:val="24"/>
          <w:szCs w:val="24"/>
        </w:rPr>
        <w:footnoteReference w:id="9"/>
      </w:r>
      <w:r w:rsidRPr="006908B1">
        <w:rPr>
          <w:rFonts w:ascii="Times New Roman" w:hAnsi="Times New Roman"/>
          <w:sz w:val="24"/>
          <w:szCs w:val="24"/>
        </w:rPr>
        <w:t xml:space="preserve"> on Republican commemoration of </w:t>
      </w:r>
      <w:proofErr w:type="spellStart"/>
      <w:r w:rsidRPr="006908B1">
        <w:rPr>
          <w:rFonts w:ascii="Times New Roman" w:hAnsi="Times New Roman"/>
          <w:sz w:val="24"/>
          <w:szCs w:val="24"/>
        </w:rPr>
        <w:t>Fenian</w:t>
      </w:r>
      <w:proofErr w:type="spellEnd"/>
      <w:r w:rsidRPr="006908B1">
        <w:rPr>
          <w:rFonts w:ascii="Times New Roman" w:hAnsi="Times New Roman"/>
          <w:sz w:val="24"/>
          <w:szCs w:val="24"/>
        </w:rPr>
        <w:t xml:space="preserve"> risings in 1867. The ban decision was made on the basis of a Royal Ulster Constabulary Report which the government refused to disclose to parliamentarians.</w:t>
      </w:r>
      <w:r w:rsidRPr="006908B1">
        <w:rPr>
          <w:rStyle w:val="FootnoteReference"/>
          <w:sz w:val="24"/>
          <w:szCs w:val="24"/>
        </w:rPr>
        <w:footnoteReference w:id="10"/>
      </w:r>
    </w:p>
    <w:p w:rsidR="003A0DD2" w:rsidRPr="00D23B78" w:rsidRDefault="003A0DD2" w:rsidP="003A0DD2">
      <w:pPr>
        <w:spacing w:line="360" w:lineRule="auto"/>
        <w:rPr>
          <w:rFonts w:ascii="Times New Roman" w:hAnsi="Times New Roman"/>
          <w:sz w:val="24"/>
          <w:szCs w:val="24"/>
        </w:rPr>
      </w:pPr>
      <w:r w:rsidRPr="00D23B78">
        <w:rPr>
          <w:rFonts w:ascii="Times New Roman" w:hAnsi="Times New Roman"/>
          <w:sz w:val="24"/>
          <w:szCs w:val="24"/>
        </w:rPr>
        <w:t xml:space="preserve">Other organisations subsequently banned under the Special Powers Act were </w:t>
      </w:r>
      <w:r>
        <w:rPr>
          <w:rFonts w:ascii="Times New Roman" w:hAnsi="Times New Roman"/>
          <w:sz w:val="24"/>
          <w:szCs w:val="24"/>
        </w:rPr>
        <w:t xml:space="preserve">the </w:t>
      </w:r>
      <w:r w:rsidRPr="00265976">
        <w:rPr>
          <w:rFonts w:ascii="Times New Roman" w:hAnsi="Times New Roman"/>
          <w:sz w:val="24"/>
          <w:szCs w:val="24"/>
        </w:rPr>
        <w:t xml:space="preserve">republican IRA offshoot </w:t>
      </w:r>
      <w:proofErr w:type="spellStart"/>
      <w:r w:rsidRPr="00265976">
        <w:rPr>
          <w:rFonts w:ascii="Times New Roman" w:hAnsi="Times New Roman"/>
          <w:i/>
          <w:sz w:val="24"/>
          <w:szCs w:val="24"/>
        </w:rPr>
        <w:t>Saor</w:t>
      </w:r>
      <w:proofErr w:type="spellEnd"/>
      <w:r w:rsidRPr="00265976">
        <w:rPr>
          <w:rFonts w:ascii="Times New Roman" w:hAnsi="Times New Roman"/>
          <w:i/>
          <w:sz w:val="24"/>
          <w:szCs w:val="24"/>
        </w:rPr>
        <w:t xml:space="preserve"> </w:t>
      </w:r>
      <w:proofErr w:type="spellStart"/>
      <w:r w:rsidRPr="00265976">
        <w:rPr>
          <w:rFonts w:ascii="Times New Roman" w:hAnsi="Times New Roman"/>
          <w:i/>
          <w:sz w:val="24"/>
          <w:szCs w:val="24"/>
        </w:rPr>
        <w:t>Uladh</w:t>
      </w:r>
      <w:proofErr w:type="spellEnd"/>
      <w:r w:rsidRPr="00265976">
        <w:rPr>
          <w:rFonts w:ascii="Times New Roman" w:hAnsi="Times New Roman"/>
          <w:i/>
          <w:sz w:val="24"/>
          <w:szCs w:val="24"/>
        </w:rPr>
        <w:t xml:space="preserve"> </w:t>
      </w:r>
      <w:r w:rsidRPr="00E80E9F">
        <w:rPr>
          <w:rFonts w:ascii="Times New Roman" w:hAnsi="Times New Roman"/>
          <w:sz w:val="24"/>
          <w:szCs w:val="24"/>
        </w:rPr>
        <w:t>(1955)</w:t>
      </w:r>
      <w:r>
        <w:rPr>
          <w:rFonts w:ascii="Times New Roman" w:hAnsi="Times New Roman"/>
          <w:sz w:val="24"/>
          <w:szCs w:val="24"/>
        </w:rPr>
        <w:t xml:space="preserve"> </w:t>
      </w:r>
      <w:r w:rsidRPr="00E80E9F">
        <w:rPr>
          <w:rFonts w:ascii="Times New Roman" w:hAnsi="Times New Roman"/>
          <w:sz w:val="24"/>
          <w:szCs w:val="24"/>
        </w:rPr>
        <w:t>(</w:t>
      </w:r>
      <w:r>
        <w:rPr>
          <w:rFonts w:ascii="Times New Roman" w:hAnsi="Times New Roman"/>
          <w:sz w:val="24"/>
          <w:szCs w:val="24"/>
        </w:rPr>
        <w:t>English, 2003, 72)</w:t>
      </w:r>
      <w:r>
        <w:rPr>
          <w:rFonts w:ascii="Times New Roman" w:hAnsi="Times New Roman"/>
          <w:i/>
          <w:sz w:val="24"/>
          <w:szCs w:val="24"/>
        </w:rPr>
        <w:t>,</w:t>
      </w:r>
      <w:r w:rsidRPr="00265976">
        <w:rPr>
          <w:rStyle w:val="FootnoteReference"/>
          <w:sz w:val="24"/>
          <w:szCs w:val="24"/>
        </w:rPr>
        <w:footnoteReference w:id="11"/>
      </w:r>
      <w:r>
        <w:rPr>
          <w:rFonts w:ascii="Times New Roman" w:hAnsi="Times New Roman"/>
          <w:sz w:val="24"/>
          <w:szCs w:val="24"/>
        </w:rPr>
        <w:t xml:space="preserve"> t</w:t>
      </w:r>
      <w:r w:rsidRPr="00D23B78">
        <w:rPr>
          <w:rFonts w:ascii="Times New Roman" w:hAnsi="Times New Roman"/>
          <w:sz w:val="24"/>
          <w:szCs w:val="24"/>
        </w:rPr>
        <w:t xml:space="preserve">he fascist National Guard </w:t>
      </w:r>
      <w:r>
        <w:rPr>
          <w:rFonts w:ascii="Times New Roman" w:hAnsi="Times New Roman"/>
          <w:sz w:val="24"/>
          <w:szCs w:val="24"/>
        </w:rPr>
        <w:t>(1933)</w:t>
      </w:r>
      <w:r w:rsidRPr="00D23B78">
        <w:rPr>
          <w:rFonts w:ascii="Times New Roman" w:hAnsi="Times New Roman"/>
          <w:sz w:val="24"/>
          <w:szCs w:val="24"/>
        </w:rPr>
        <w:t xml:space="preserve"> and the Ulster Volunteer Force </w:t>
      </w:r>
      <w:r>
        <w:rPr>
          <w:rFonts w:ascii="Times New Roman" w:hAnsi="Times New Roman"/>
          <w:sz w:val="24"/>
          <w:szCs w:val="24"/>
        </w:rPr>
        <w:t>(1966).</w:t>
      </w:r>
      <w:r w:rsidRPr="00D23B78">
        <w:rPr>
          <w:rStyle w:val="FootnoteReference"/>
          <w:sz w:val="24"/>
          <w:szCs w:val="24"/>
        </w:rPr>
        <w:footnoteReference w:id="12"/>
      </w:r>
      <w:r w:rsidRPr="00D23B78">
        <w:rPr>
          <w:rFonts w:ascii="Times New Roman" w:hAnsi="Times New Roman"/>
          <w:sz w:val="24"/>
          <w:szCs w:val="24"/>
        </w:rPr>
        <w:t xml:space="preserve">  </w:t>
      </w:r>
    </w:p>
    <w:p w:rsidR="003A0DD2" w:rsidRDefault="003A0DD2" w:rsidP="003A0DD2">
      <w:pPr>
        <w:spacing w:line="360" w:lineRule="auto"/>
        <w:rPr>
          <w:rFonts w:ascii="Times New Roman" w:hAnsi="Times New Roman"/>
          <w:sz w:val="24"/>
          <w:szCs w:val="24"/>
        </w:rPr>
      </w:pPr>
      <w:r>
        <w:rPr>
          <w:rFonts w:ascii="Times New Roman" w:hAnsi="Times New Roman"/>
          <w:sz w:val="24"/>
          <w:szCs w:val="24"/>
        </w:rPr>
        <w:t>From the late 1960s, sectarian violence in Northern Ireland escalated and was eventually met with re</w:t>
      </w:r>
      <w:r w:rsidRPr="006908B1">
        <w:rPr>
          <w:rFonts w:ascii="Times New Roman" w:hAnsi="Times New Roman"/>
          <w:sz w:val="24"/>
          <w:szCs w:val="24"/>
          <w:lang w:val="en-US"/>
        </w:rPr>
        <w:t>introduc</w:t>
      </w:r>
      <w:r>
        <w:rPr>
          <w:rFonts w:ascii="Times New Roman" w:hAnsi="Times New Roman"/>
          <w:sz w:val="24"/>
          <w:szCs w:val="24"/>
          <w:lang w:val="en-US"/>
        </w:rPr>
        <w:t xml:space="preserve">tion of </w:t>
      </w:r>
      <w:r w:rsidRPr="006908B1">
        <w:rPr>
          <w:rFonts w:ascii="Times New Roman" w:hAnsi="Times New Roman"/>
          <w:sz w:val="24"/>
          <w:szCs w:val="24"/>
          <w:lang w:val="en-US"/>
        </w:rPr>
        <w:t>direct rule and suspen</w:t>
      </w:r>
      <w:r>
        <w:rPr>
          <w:rFonts w:ascii="Times New Roman" w:hAnsi="Times New Roman"/>
          <w:sz w:val="24"/>
          <w:szCs w:val="24"/>
          <w:lang w:val="en-US"/>
        </w:rPr>
        <w:t xml:space="preserve">sion of </w:t>
      </w:r>
      <w:r w:rsidRPr="006908B1">
        <w:rPr>
          <w:rFonts w:ascii="Times New Roman" w:hAnsi="Times New Roman"/>
          <w:sz w:val="24"/>
          <w:szCs w:val="24"/>
          <w:lang w:val="en-US"/>
        </w:rPr>
        <w:t>the Stormont parliament on 24 March 1972</w:t>
      </w:r>
      <w:r>
        <w:rPr>
          <w:rFonts w:ascii="Times New Roman" w:hAnsi="Times New Roman"/>
          <w:sz w:val="24"/>
          <w:szCs w:val="24"/>
          <w:lang w:val="en-US"/>
        </w:rPr>
        <w:t>.</w:t>
      </w:r>
      <w:r>
        <w:rPr>
          <w:rFonts w:ascii="Times New Roman" w:hAnsi="Times New Roman"/>
          <w:sz w:val="24"/>
          <w:szCs w:val="24"/>
        </w:rPr>
        <w:t xml:space="preserve"> The </w:t>
      </w:r>
      <w:r w:rsidRPr="00D23B78">
        <w:rPr>
          <w:rFonts w:ascii="Times New Roman" w:hAnsi="Times New Roman"/>
          <w:sz w:val="24"/>
          <w:szCs w:val="24"/>
        </w:rPr>
        <w:t>Northern Ireland (Emergency Provisions) Act 1973</w:t>
      </w:r>
      <w:r>
        <w:rPr>
          <w:rFonts w:ascii="Times New Roman" w:hAnsi="Times New Roman"/>
          <w:sz w:val="24"/>
          <w:szCs w:val="24"/>
        </w:rPr>
        <w:t>, passed by the Westminster parliament,</w:t>
      </w:r>
      <w:r w:rsidRPr="00D23B78">
        <w:rPr>
          <w:rFonts w:ascii="Times New Roman" w:hAnsi="Times New Roman"/>
          <w:sz w:val="24"/>
          <w:szCs w:val="24"/>
        </w:rPr>
        <w:t xml:space="preserve"> </w:t>
      </w:r>
      <w:r w:rsidRPr="00D23B78">
        <w:rPr>
          <w:rFonts w:ascii="Times New Roman" w:hAnsi="Times New Roman"/>
          <w:sz w:val="24"/>
          <w:szCs w:val="24"/>
        </w:rPr>
        <w:lastRenderedPageBreak/>
        <w:t>permitted proscription of organisations</w:t>
      </w:r>
      <w:r>
        <w:rPr>
          <w:rFonts w:ascii="Times New Roman" w:hAnsi="Times New Roman"/>
          <w:sz w:val="24"/>
          <w:szCs w:val="24"/>
        </w:rPr>
        <w:t xml:space="preserve"> (which would be listed in its </w:t>
      </w:r>
      <w:r w:rsidRPr="00D23B78">
        <w:rPr>
          <w:rFonts w:ascii="Times New Roman" w:hAnsi="Times New Roman"/>
          <w:sz w:val="24"/>
          <w:szCs w:val="24"/>
        </w:rPr>
        <w:t>Schedule 2</w:t>
      </w:r>
      <w:r>
        <w:rPr>
          <w:rFonts w:ascii="Times New Roman" w:hAnsi="Times New Roman"/>
          <w:sz w:val="24"/>
          <w:szCs w:val="24"/>
        </w:rPr>
        <w:t>)</w:t>
      </w:r>
      <w:r w:rsidRPr="00D23B78">
        <w:rPr>
          <w:rFonts w:ascii="Times New Roman" w:hAnsi="Times New Roman"/>
          <w:sz w:val="24"/>
          <w:szCs w:val="24"/>
        </w:rPr>
        <w:t>. In April 1973, before the Emergency Powers Act entered into force and after the party had decided to contest elections (McAllister and Nelson, 1979, 308), the government decided that Republican Clubs should no longer be unlawful.</w:t>
      </w:r>
      <w:r w:rsidRPr="00D23B78">
        <w:rPr>
          <w:rStyle w:val="FootnoteReference"/>
          <w:sz w:val="24"/>
          <w:szCs w:val="24"/>
        </w:rPr>
        <w:footnoteReference w:id="13"/>
      </w:r>
      <w:r w:rsidRPr="00D23B78">
        <w:rPr>
          <w:rFonts w:ascii="Times New Roman" w:hAnsi="Times New Roman"/>
          <w:sz w:val="24"/>
          <w:szCs w:val="24"/>
        </w:rPr>
        <w:t xml:space="preserve"> Initially, Sinn Fein was listed as a proscribed organisation but, along with the Ulster Volunteer Force was legalised in 1974.</w:t>
      </w:r>
      <w:r w:rsidRPr="00D23B78">
        <w:rPr>
          <w:rStyle w:val="FootnoteReference"/>
          <w:sz w:val="24"/>
          <w:szCs w:val="24"/>
        </w:rPr>
        <w:footnoteReference w:id="14"/>
      </w:r>
    </w:p>
    <w:p w:rsidR="003A0DD2" w:rsidRDefault="003A0DD2" w:rsidP="003A0DD2">
      <w:pPr>
        <w:pStyle w:val="ListParagraph"/>
        <w:spacing w:line="360" w:lineRule="auto"/>
        <w:ind w:left="0"/>
        <w:rPr>
          <w:rFonts w:ascii="Times New Roman" w:hAnsi="Times New Roman"/>
          <w:sz w:val="24"/>
          <w:szCs w:val="24"/>
          <w:lang w:val="en-US"/>
        </w:rPr>
      </w:pPr>
      <w:r>
        <w:rPr>
          <w:rFonts w:ascii="Times New Roman" w:hAnsi="Times New Roman"/>
          <w:sz w:val="24"/>
          <w:szCs w:val="24"/>
          <w:lang w:val="en-US"/>
        </w:rPr>
        <w:t xml:space="preserve">Once it assumed direct rule, </w:t>
      </w:r>
      <w:r w:rsidRPr="006908B1">
        <w:rPr>
          <w:rFonts w:ascii="Times New Roman" w:hAnsi="Times New Roman"/>
          <w:sz w:val="24"/>
          <w:szCs w:val="24"/>
          <w:lang w:val="en-US"/>
        </w:rPr>
        <w:t>hoping it would be a temporary measure until new political institutions enjoying the consent of both communities could be devised (Cunningham, 2001, 12).</w:t>
      </w:r>
      <w:r>
        <w:rPr>
          <w:rFonts w:ascii="Times New Roman" w:hAnsi="Times New Roman"/>
          <w:sz w:val="24"/>
          <w:szCs w:val="24"/>
          <w:lang w:val="en-US"/>
        </w:rPr>
        <w:t xml:space="preserve"> </w:t>
      </w:r>
      <w:r w:rsidRPr="006908B1">
        <w:rPr>
          <w:rFonts w:ascii="Times New Roman" w:hAnsi="Times New Roman"/>
          <w:sz w:val="24"/>
          <w:szCs w:val="24"/>
          <w:lang w:val="en-US"/>
        </w:rPr>
        <w:t xml:space="preserve">The Heath Conservative government legalized the Republican Clubs, </w:t>
      </w:r>
      <w:r>
        <w:rPr>
          <w:rFonts w:ascii="Times New Roman" w:hAnsi="Times New Roman"/>
          <w:sz w:val="24"/>
          <w:szCs w:val="24"/>
          <w:lang w:val="en-US"/>
        </w:rPr>
        <w:t xml:space="preserve">by then </w:t>
      </w:r>
      <w:r w:rsidRPr="006908B1">
        <w:rPr>
          <w:rFonts w:ascii="Times New Roman" w:hAnsi="Times New Roman"/>
          <w:sz w:val="24"/>
          <w:szCs w:val="24"/>
          <w:lang w:val="en-US"/>
        </w:rPr>
        <w:t>the political wing of the Official IRA, with the intention of permitting the party to participate in the June 1973 Northern Ireland Assembly elections.</w:t>
      </w:r>
      <w:r w:rsidRPr="006908B1">
        <w:rPr>
          <w:rStyle w:val="FootnoteReference"/>
          <w:sz w:val="24"/>
          <w:szCs w:val="24"/>
          <w:lang w:val="en-US"/>
        </w:rPr>
        <w:footnoteReference w:id="15"/>
      </w:r>
      <w:r w:rsidRPr="006908B1">
        <w:rPr>
          <w:rFonts w:ascii="Times New Roman" w:hAnsi="Times New Roman"/>
          <w:sz w:val="24"/>
          <w:szCs w:val="24"/>
          <w:lang w:val="en-US"/>
        </w:rPr>
        <w:t xml:space="preserve"> The June 1973 elections were the first step in the government’s earliest attempt to create a cross-community ‘</w:t>
      </w:r>
      <w:proofErr w:type="spellStart"/>
      <w:r w:rsidRPr="006908B1">
        <w:rPr>
          <w:rFonts w:ascii="Times New Roman" w:hAnsi="Times New Roman"/>
          <w:sz w:val="24"/>
          <w:szCs w:val="24"/>
          <w:lang w:val="en-US"/>
        </w:rPr>
        <w:t>powersharing</w:t>
      </w:r>
      <w:proofErr w:type="spellEnd"/>
      <w:r w:rsidRPr="006908B1">
        <w:rPr>
          <w:rFonts w:ascii="Times New Roman" w:hAnsi="Times New Roman"/>
          <w:sz w:val="24"/>
          <w:szCs w:val="24"/>
          <w:lang w:val="en-US"/>
        </w:rPr>
        <w:t xml:space="preserve">’ executive, but it foundered (28 May 1974) over proposals for closer cooperation between authorities north and south in a Council of Ireland (Cunningham, 2001, 13-14). </w:t>
      </w:r>
      <w:r>
        <w:rPr>
          <w:rFonts w:ascii="Times New Roman" w:hAnsi="Times New Roman"/>
          <w:sz w:val="24"/>
          <w:szCs w:val="24"/>
          <w:lang w:val="en-US"/>
        </w:rPr>
        <w:t xml:space="preserve"> </w:t>
      </w:r>
      <w:r w:rsidRPr="006908B1">
        <w:rPr>
          <w:rFonts w:ascii="Times New Roman" w:hAnsi="Times New Roman"/>
          <w:sz w:val="24"/>
          <w:szCs w:val="24"/>
          <w:lang w:val="en-US"/>
        </w:rPr>
        <w:t xml:space="preserve">The decision to </w:t>
      </w:r>
      <w:proofErr w:type="spellStart"/>
      <w:r w:rsidRPr="006908B1">
        <w:rPr>
          <w:rFonts w:ascii="Times New Roman" w:hAnsi="Times New Roman"/>
          <w:sz w:val="24"/>
          <w:szCs w:val="24"/>
          <w:lang w:val="en-US"/>
        </w:rPr>
        <w:t>legalise</w:t>
      </w:r>
      <w:proofErr w:type="spellEnd"/>
      <w:r w:rsidRPr="006908B1">
        <w:rPr>
          <w:rFonts w:ascii="Times New Roman" w:hAnsi="Times New Roman"/>
          <w:sz w:val="24"/>
          <w:szCs w:val="24"/>
          <w:lang w:val="en-US"/>
        </w:rPr>
        <w:t xml:space="preserve"> Sinn Fein was announced (4 April 1974) after those elections had taken place, but after the 1974 UK general election which brought the Wilson </w:t>
      </w:r>
      <w:proofErr w:type="spellStart"/>
      <w:r w:rsidRPr="006908B1">
        <w:rPr>
          <w:rFonts w:ascii="Times New Roman" w:hAnsi="Times New Roman"/>
          <w:sz w:val="24"/>
          <w:szCs w:val="24"/>
          <w:lang w:val="en-US"/>
        </w:rPr>
        <w:t>Labour</w:t>
      </w:r>
      <w:proofErr w:type="spellEnd"/>
      <w:r w:rsidRPr="006908B1">
        <w:rPr>
          <w:rFonts w:ascii="Times New Roman" w:hAnsi="Times New Roman"/>
          <w:sz w:val="24"/>
          <w:szCs w:val="24"/>
          <w:lang w:val="en-US"/>
        </w:rPr>
        <w:t xml:space="preserve"> government to power and the election of 11 out of 12 anti-</w:t>
      </w:r>
      <w:proofErr w:type="spellStart"/>
      <w:r w:rsidRPr="006908B1">
        <w:rPr>
          <w:rFonts w:ascii="Times New Roman" w:hAnsi="Times New Roman"/>
          <w:sz w:val="24"/>
          <w:szCs w:val="24"/>
          <w:lang w:val="en-US"/>
        </w:rPr>
        <w:t>Sunningdale</w:t>
      </w:r>
      <w:proofErr w:type="spellEnd"/>
      <w:r w:rsidRPr="006908B1">
        <w:rPr>
          <w:rFonts w:ascii="Times New Roman" w:hAnsi="Times New Roman"/>
          <w:sz w:val="24"/>
          <w:szCs w:val="24"/>
          <w:lang w:val="en-US"/>
        </w:rPr>
        <w:t xml:space="preserve"> MPs for Northern Ireland. Legalization of Sinn Fein (and the UVF) was formally authorized (15 May 1974) the day after the Ulster Workers’ Council Strike (14 May 1974) precipitated the end of the Assembly. Various other attempts to devise new institutional arrangements enjoying cross-community consent in the 1970s and 1980s met a similar fate and it was not until the </w:t>
      </w:r>
      <w:r w:rsidRPr="00F63736">
        <w:rPr>
          <w:rFonts w:ascii="Times New Roman" w:hAnsi="Times New Roman"/>
          <w:sz w:val="24"/>
          <w:szCs w:val="24"/>
          <w:lang w:val="en-US"/>
        </w:rPr>
        <w:t>1998 Good Friday Agreement</w:t>
      </w:r>
      <w:r w:rsidRPr="006908B1">
        <w:rPr>
          <w:rFonts w:ascii="Times New Roman" w:hAnsi="Times New Roman"/>
          <w:sz w:val="24"/>
          <w:szCs w:val="24"/>
          <w:lang w:val="en-US"/>
        </w:rPr>
        <w:t xml:space="preserve"> that such consent was obtained. </w:t>
      </w:r>
    </w:p>
    <w:p w:rsidR="003A0DD2" w:rsidRPr="006908B1" w:rsidRDefault="003A0DD2" w:rsidP="003A0DD2">
      <w:pPr>
        <w:pStyle w:val="ListParagraph"/>
        <w:spacing w:line="360" w:lineRule="auto"/>
        <w:ind w:left="0"/>
        <w:rPr>
          <w:rFonts w:ascii="Times New Roman" w:hAnsi="Times New Roman"/>
          <w:sz w:val="24"/>
          <w:szCs w:val="24"/>
          <w:lang w:val="en-US"/>
        </w:rPr>
      </w:pPr>
    </w:p>
    <w:p w:rsidR="003A0DD2" w:rsidRPr="006908B1" w:rsidRDefault="003A0DD2" w:rsidP="00443EDA">
      <w:pPr>
        <w:pStyle w:val="ListParagraph"/>
        <w:spacing w:line="360" w:lineRule="auto"/>
        <w:ind w:left="0"/>
        <w:rPr>
          <w:rFonts w:ascii="Times New Roman" w:hAnsi="Times New Roman"/>
          <w:sz w:val="24"/>
          <w:szCs w:val="24"/>
          <w:lang w:val="en-US"/>
        </w:rPr>
      </w:pPr>
      <w:r w:rsidRPr="006908B1">
        <w:rPr>
          <w:rFonts w:ascii="Times New Roman" w:hAnsi="Times New Roman"/>
          <w:sz w:val="24"/>
          <w:szCs w:val="24"/>
          <w:lang w:val="en-US"/>
        </w:rPr>
        <w:t xml:space="preserve">During this period, both the Officials and the </w:t>
      </w:r>
      <w:proofErr w:type="spellStart"/>
      <w:r w:rsidRPr="006908B1">
        <w:rPr>
          <w:rFonts w:ascii="Times New Roman" w:hAnsi="Times New Roman"/>
          <w:sz w:val="24"/>
          <w:szCs w:val="24"/>
          <w:lang w:val="en-US"/>
        </w:rPr>
        <w:t>Provisionals</w:t>
      </w:r>
      <w:proofErr w:type="spellEnd"/>
      <w:r w:rsidRPr="006908B1">
        <w:rPr>
          <w:rFonts w:ascii="Times New Roman" w:hAnsi="Times New Roman"/>
          <w:sz w:val="24"/>
          <w:szCs w:val="24"/>
          <w:lang w:val="en-US"/>
        </w:rPr>
        <w:t xml:space="preserve"> showed some inclination to reconsider the use of violence. The Official IRA had announced a ceasefire (May 29 1972) a few days after the British government assumed direct rule (J Bowyer Bell, 1979, 388). From June 1972, the Provisional IRA and the British government positioned themselves for negotiations culminating in a brief truce (26 June to 9 July 1972) but inconclusive talks in London (7 July 1972) (Bowyer Bell, 1979, 389-90).</w:t>
      </w:r>
      <w:r w:rsidR="00443EDA">
        <w:rPr>
          <w:rFonts w:ascii="Times New Roman" w:hAnsi="Times New Roman"/>
          <w:sz w:val="24"/>
          <w:szCs w:val="24"/>
          <w:lang w:val="en-US"/>
        </w:rPr>
        <w:t xml:space="preserve"> Soon after Sinn </w:t>
      </w:r>
      <w:proofErr w:type="spellStart"/>
      <w:r w:rsidR="00443EDA">
        <w:rPr>
          <w:rFonts w:ascii="Times New Roman" w:hAnsi="Times New Roman"/>
          <w:sz w:val="24"/>
          <w:szCs w:val="24"/>
          <w:lang w:val="en-US"/>
        </w:rPr>
        <w:t>Féin</w:t>
      </w:r>
      <w:proofErr w:type="spellEnd"/>
      <w:r w:rsidR="00443EDA">
        <w:rPr>
          <w:rFonts w:ascii="Times New Roman" w:hAnsi="Times New Roman"/>
          <w:sz w:val="24"/>
          <w:szCs w:val="24"/>
          <w:lang w:val="en-US"/>
        </w:rPr>
        <w:t xml:space="preserve"> was legalized, the IRA announced a truce (9 February 1975 to 23 January 1976) and talks were conducted between IRA and the Bri</w:t>
      </w:r>
      <w:r w:rsidR="002A6577">
        <w:rPr>
          <w:rFonts w:ascii="Times New Roman" w:hAnsi="Times New Roman"/>
          <w:sz w:val="24"/>
          <w:szCs w:val="24"/>
          <w:lang w:val="en-US"/>
        </w:rPr>
        <w:t>tish government (</w:t>
      </w:r>
      <w:proofErr w:type="spellStart"/>
      <w:r w:rsidR="002A6577">
        <w:rPr>
          <w:rFonts w:ascii="Times New Roman" w:hAnsi="Times New Roman"/>
          <w:sz w:val="24"/>
          <w:szCs w:val="24"/>
          <w:lang w:val="en-US"/>
        </w:rPr>
        <w:t>Bew</w:t>
      </w:r>
      <w:proofErr w:type="spellEnd"/>
      <w:r w:rsidR="002A6577">
        <w:rPr>
          <w:rFonts w:ascii="Times New Roman" w:hAnsi="Times New Roman"/>
          <w:sz w:val="24"/>
          <w:szCs w:val="24"/>
          <w:lang w:val="en-US"/>
        </w:rPr>
        <w:t xml:space="preserve"> et al, 2009, 53)</w:t>
      </w:r>
      <w:r w:rsidR="00443EDA" w:rsidRPr="006908B1">
        <w:rPr>
          <w:rFonts w:ascii="Times New Roman" w:hAnsi="Times New Roman"/>
          <w:sz w:val="24"/>
          <w:szCs w:val="24"/>
          <w:lang w:val="en-US"/>
        </w:rPr>
        <w:t xml:space="preserve"> </w:t>
      </w:r>
    </w:p>
    <w:p w:rsidR="003A0DD2" w:rsidRPr="00E80E9F" w:rsidRDefault="003A0DD2" w:rsidP="003A0DD2">
      <w:pPr>
        <w:jc w:val="center"/>
        <w:rPr>
          <w:rFonts w:ascii="Times New Roman" w:hAnsi="Times New Roman"/>
          <w:b/>
          <w:sz w:val="24"/>
          <w:szCs w:val="24"/>
        </w:rPr>
      </w:pPr>
      <w:r w:rsidRPr="00E80E9F">
        <w:rPr>
          <w:rFonts w:ascii="Times New Roman" w:hAnsi="Times New Roman"/>
          <w:b/>
          <w:sz w:val="24"/>
          <w:szCs w:val="24"/>
        </w:rPr>
        <w:lastRenderedPageBreak/>
        <w:t>Table 2: Irish Political Parties Banned in the United Kingdom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1398"/>
        <w:gridCol w:w="3524"/>
        <w:gridCol w:w="1470"/>
      </w:tblGrid>
      <w:tr w:rsidR="003A0DD2" w:rsidTr="00C42698">
        <w:tc>
          <w:tcPr>
            <w:tcW w:w="2130" w:type="dxa"/>
          </w:tcPr>
          <w:p w:rsidR="003A0DD2" w:rsidRDefault="003A0DD2" w:rsidP="00C42698">
            <w:pPr>
              <w:rPr>
                <w:rFonts w:ascii="Times New Roman" w:hAnsi="Times New Roman"/>
                <w:b/>
              </w:rPr>
            </w:pPr>
            <w:r>
              <w:rPr>
                <w:rFonts w:ascii="Times New Roman" w:hAnsi="Times New Roman"/>
                <w:b/>
              </w:rPr>
              <w:t>Party</w:t>
            </w:r>
          </w:p>
        </w:tc>
        <w:tc>
          <w:tcPr>
            <w:tcW w:w="1398" w:type="dxa"/>
          </w:tcPr>
          <w:p w:rsidR="003A0DD2" w:rsidRDefault="003A0DD2" w:rsidP="00C42698">
            <w:pPr>
              <w:rPr>
                <w:rFonts w:ascii="Times New Roman" w:hAnsi="Times New Roman"/>
                <w:b/>
              </w:rPr>
            </w:pPr>
            <w:r>
              <w:rPr>
                <w:rFonts w:ascii="Times New Roman" w:hAnsi="Times New Roman"/>
                <w:b/>
              </w:rPr>
              <w:t>Year of Ban</w:t>
            </w:r>
          </w:p>
        </w:tc>
        <w:tc>
          <w:tcPr>
            <w:tcW w:w="3524" w:type="dxa"/>
          </w:tcPr>
          <w:p w:rsidR="003A0DD2" w:rsidRDefault="003A0DD2" w:rsidP="00C42698">
            <w:pPr>
              <w:rPr>
                <w:rFonts w:ascii="Times New Roman" w:hAnsi="Times New Roman"/>
                <w:b/>
              </w:rPr>
            </w:pPr>
            <w:r>
              <w:rPr>
                <w:rFonts w:ascii="Times New Roman" w:hAnsi="Times New Roman"/>
                <w:b/>
              </w:rPr>
              <w:t xml:space="preserve">Legislation </w:t>
            </w:r>
          </w:p>
        </w:tc>
        <w:tc>
          <w:tcPr>
            <w:tcW w:w="1470" w:type="dxa"/>
          </w:tcPr>
          <w:p w:rsidR="003A0DD2" w:rsidRDefault="003A0DD2" w:rsidP="00C42698">
            <w:pPr>
              <w:rPr>
                <w:rFonts w:ascii="Times New Roman" w:hAnsi="Times New Roman"/>
                <w:b/>
              </w:rPr>
            </w:pPr>
            <w:r>
              <w:rPr>
                <w:rFonts w:ascii="Times New Roman" w:hAnsi="Times New Roman"/>
                <w:b/>
              </w:rPr>
              <w:t>Legalisation</w:t>
            </w:r>
          </w:p>
        </w:tc>
      </w:tr>
      <w:tr w:rsidR="003A0DD2" w:rsidTr="00C42698">
        <w:tc>
          <w:tcPr>
            <w:tcW w:w="2130" w:type="dxa"/>
          </w:tcPr>
          <w:p w:rsidR="003A0DD2" w:rsidRPr="00E80E9F" w:rsidRDefault="003A0DD2" w:rsidP="00C42698">
            <w:pPr>
              <w:rPr>
                <w:rFonts w:ascii="Times New Roman" w:hAnsi="Times New Roman"/>
                <w:i/>
              </w:rPr>
            </w:pPr>
            <w:r w:rsidRPr="00E80E9F">
              <w:rPr>
                <w:rFonts w:ascii="Times New Roman" w:hAnsi="Times New Roman"/>
                <w:i/>
              </w:rPr>
              <w:t>Sinn Fein</w:t>
            </w:r>
          </w:p>
        </w:tc>
        <w:tc>
          <w:tcPr>
            <w:tcW w:w="1398" w:type="dxa"/>
          </w:tcPr>
          <w:p w:rsidR="003A0DD2" w:rsidRDefault="003A0DD2" w:rsidP="00C42698">
            <w:pPr>
              <w:rPr>
                <w:rFonts w:ascii="Times New Roman" w:hAnsi="Times New Roman"/>
              </w:rPr>
            </w:pPr>
            <w:r>
              <w:rPr>
                <w:rFonts w:ascii="Times New Roman" w:hAnsi="Times New Roman"/>
              </w:rPr>
              <w:t>1919</w:t>
            </w:r>
          </w:p>
          <w:p w:rsidR="003A0DD2" w:rsidRDefault="003A0DD2" w:rsidP="00C42698">
            <w:pPr>
              <w:rPr>
                <w:rFonts w:ascii="Times New Roman" w:hAnsi="Times New Roman"/>
              </w:rPr>
            </w:pPr>
          </w:p>
          <w:p w:rsidR="003A0DD2" w:rsidRDefault="003A0DD2" w:rsidP="00C42698">
            <w:pPr>
              <w:rPr>
                <w:rFonts w:ascii="Times New Roman" w:hAnsi="Times New Roman"/>
              </w:rPr>
            </w:pPr>
            <w:r>
              <w:rPr>
                <w:rFonts w:ascii="Times New Roman" w:hAnsi="Times New Roman"/>
              </w:rPr>
              <w:t>1920</w:t>
            </w:r>
          </w:p>
          <w:p w:rsidR="003A0DD2" w:rsidRDefault="003A0DD2" w:rsidP="00C42698">
            <w:pPr>
              <w:rPr>
                <w:rFonts w:ascii="Times New Roman" w:hAnsi="Times New Roman"/>
              </w:rPr>
            </w:pPr>
            <w:r>
              <w:rPr>
                <w:rFonts w:ascii="Times New Roman" w:hAnsi="Times New Roman"/>
              </w:rPr>
              <w:t>1956</w:t>
            </w:r>
          </w:p>
          <w:p w:rsidR="003A0DD2" w:rsidRDefault="003A0DD2" w:rsidP="00C42698">
            <w:pPr>
              <w:rPr>
                <w:rFonts w:ascii="Times New Roman" w:hAnsi="Times New Roman"/>
              </w:rPr>
            </w:pPr>
            <w:r>
              <w:rPr>
                <w:rFonts w:ascii="Times New Roman" w:hAnsi="Times New Roman"/>
              </w:rPr>
              <w:t>1973</w:t>
            </w:r>
          </w:p>
        </w:tc>
        <w:tc>
          <w:tcPr>
            <w:tcW w:w="3524" w:type="dxa"/>
          </w:tcPr>
          <w:p w:rsidR="003A0DD2" w:rsidRDefault="003A0DD2" w:rsidP="00C42698">
            <w:pPr>
              <w:rPr>
                <w:rFonts w:ascii="Times New Roman" w:hAnsi="Times New Roman"/>
              </w:rPr>
            </w:pPr>
            <w:r>
              <w:rPr>
                <w:rFonts w:ascii="Times New Roman" w:hAnsi="Times New Roman"/>
              </w:rPr>
              <w:t xml:space="preserve">Criminal Law and Procedure (Ireland) Act 1887 </w:t>
            </w:r>
          </w:p>
          <w:p w:rsidR="003A0DD2" w:rsidRDefault="003A0DD2" w:rsidP="00C42698">
            <w:pPr>
              <w:rPr>
                <w:rFonts w:ascii="Times New Roman" w:hAnsi="Times New Roman"/>
              </w:rPr>
            </w:pPr>
            <w:r>
              <w:rPr>
                <w:rFonts w:ascii="Times New Roman" w:hAnsi="Times New Roman"/>
              </w:rPr>
              <w:t>Restoration of Order in Northern Ireland Act 1920, Regulation 14</w:t>
            </w:r>
          </w:p>
          <w:p w:rsidR="003A0DD2" w:rsidRDefault="003A0DD2" w:rsidP="00C42698">
            <w:pPr>
              <w:rPr>
                <w:rFonts w:ascii="Times New Roman" w:hAnsi="Times New Roman"/>
              </w:rPr>
            </w:pPr>
            <w:r>
              <w:rPr>
                <w:rFonts w:ascii="Times New Roman" w:hAnsi="Times New Roman"/>
              </w:rPr>
              <w:t>Special Powers Act 1922</w:t>
            </w:r>
          </w:p>
          <w:p w:rsidR="003A0DD2" w:rsidRDefault="003A0DD2" w:rsidP="00C42698">
            <w:pPr>
              <w:rPr>
                <w:rFonts w:ascii="Times New Roman" w:hAnsi="Times New Roman"/>
              </w:rPr>
            </w:pPr>
            <w:r>
              <w:rPr>
                <w:rFonts w:ascii="Times New Roman" w:hAnsi="Times New Roman"/>
              </w:rPr>
              <w:t>Northern Ireland (Emergency Provisions) Act 1973</w:t>
            </w:r>
          </w:p>
        </w:tc>
        <w:tc>
          <w:tcPr>
            <w:tcW w:w="1470" w:type="dxa"/>
          </w:tcPr>
          <w:p w:rsidR="003A0DD2" w:rsidRDefault="003A0DD2" w:rsidP="00C42698">
            <w:pPr>
              <w:rPr>
                <w:rFonts w:ascii="Times New Roman" w:hAnsi="Times New Roman"/>
              </w:rPr>
            </w:pPr>
          </w:p>
          <w:p w:rsidR="003A0DD2" w:rsidRDefault="003A0DD2" w:rsidP="00C42698">
            <w:pPr>
              <w:rPr>
                <w:rFonts w:ascii="Times New Roman" w:hAnsi="Times New Roman"/>
              </w:rPr>
            </w:pPr>
          </w:p>
          <w:p w:rsidR="003A0DD2" w:rsidRDefault="003A0DD2" w:rsidP="00C42698">
            <w:pPr>
              <w:rPr>
                <w:rFonts w:ascii="Times New Roman" w:hAnsi="Times New Roman"/>
              </w:rPr>
            </w:pPr>
          </w:p>
          <w:p w:rsidR="003A0DD2" w:rsidRDefault="003A0DD2" w:rsidP="00C42698">
            <w:pPr>
              <w:rPr>
                <w:rFonts w:ascii="Times New Roman" w:hAnsi="Times New Roman"/>
              </w:rPr>
            </w:pPr>
          </w:p>
          <w:p w:rsidR="003A0DD2" w:rsidRDefault="003A0DD2" w:rsidP="00C42698">
            <w:pPr>
              <w:rPr>
                <w:rFonts w:ascii="Times New Roman" w:hAnsi="Times New Roman"/>
              </w:rPr>
            </w:pPr>
            <w:r w:rsidRPr="00EA410F">
              <w:rPr>
                <w:rFonts w:ascii="Times New Roman" w:hAnsi="Times New Roman"/>
              </w:rPr>
              <w:t xml:space="preserve">15 May 1974 </w:t>
            </w:r>
          </w:p>
        </w:tc>
      </w:tr>
      <w:tr w:rsidR="003A0DD2" w:rsidTr="00C42698">
        <w:tc>
          <w:tcPr>
            <w:tcW w:w="2130" w:type="dxa"/>
          </w:tcPr>
          <w:p w:rsidR="003A0DD2" w:rsidRPr="00E80E9F" w:rsidRDefault="003A0DD2" w:rsidP="00C42698">
            <w:pPr>
              <w:rPr>
                <w:rFonts w:ascii="Times New Roman" w:hAnsi="Times New Roman"/>
                <w:i/>
              </w:rPr>
            </w:pPr>
            <w:proofErr w:type="spellStart"/>
            <w:r w:rsidRPr="00E80E9F">
              <w:rPr>
                <w:rFonts w:ascii="Times New Roman" w:hAnsi="Times New Roman"/>
                <w:i/>
              </w:rPr>
              <w:t>Saor</w:t>
            </w:r>
            <w:proofErr w:type="spellEnd"/>
            <w:r w:rsidRPr="00E80E9F">
              <w:rPr>
                <w:rFonts w:ascii="Times New Roman" w:hAnsi="Times New Roman"/>
                <w:i/>
              </w:rPr>
              <w:t xml:space="preserve"> Éire</w:t>
            </w:r>
          </w:p>
        </w:tc>
        <w:tc>
          <w:tcPr>
            <w:tcW w:w="1398" w:type="dxa"/>
          </w:tcPr>
          <w:p w:rsidR="003A0DD2" w:rsidRDefault="003A0DD2" w:rsidP="00C42698">
            <w:pPr>
              <w:rPr>
                <w:rFonts w:ascii="Times New Roman" w:hAnsi="Times New Roman"/>
              </w:rPr>
            </w:pPr>
            <w:r>
              <w:rPr>
                <w:rFonts w:ascii="Times New Roman" w:hAnsi="Times New Roman"/>
              </w:rPr>
              <w:t>1931</w:t>
            </w:r>
          </w:p>
          <w:p w:rsidR="003A0DD2" w:rsidRDefault="003A0DD2" w:rsidP="00C42698">
            <w:pPr>
              <w:rPr>
                <w:rFonts w:ascii="Times New Roman" w:hAnsi="Times New Roman"/>
              </w:rPr>
            </w:pPr>
            <w:r>
              <w:rPr>
                <w:rFonts w:ascii="Times New Roman" w:hAnsi="Times New Roman"/>
              </w:rPr>
              <w:t>1973</w:t>
            </w:r>
          </w:p>
        </w:tc>
        <w:tc>
          <w:tcPr>
            <w:tcW w:w="3524" w:type="dxa"/>
          </w:tcPr>
          <w:p w:rsidR="003A0DD2" w:rsidRDefault="003A0DD2" w:rsidP="00C42698">
            <w:pPr>
              <w:rPr>
                <w:rFonts w:ascii="Times New Roman" w:hAnsi="Times New Roman"/>
              </w:rPr>
            </w:pPr>
            <w:r>
              <w:rPr>
                <w:rFonts w:ascii="Times New Roman" w:hAnsi="Times New Roman"/>
              </w:rPr>
              <w:t>Special Powers Act 1922</w:t>
            </w:r>
          </w:p>
          <w:p w:rsidR="003A0DD2" w:rsidRDefault="003A0DD2" w:rsidP="00C42698">
            <w:pPr>
              <w:rPr>
                <w:rFonts w:ascii="Times New Roman" w:hAnsi="Times New Roman"/>
              </w:rPr>
            </w:pPr>
            <w:r>
              <w:rPr>
                <w:rFonts w:ascii="Times New Roman" w:hAnsi="Times New Roman"/>
              </w:rPr>
              <w:t>Northern Ireland (Emergency Provisions) Act 1973</w:t>
            </w:r>
          </w:p>
        </w:tc>
        <w:tc>
          <w:tcPr>
            <w:tcW w:w="1470" w:type="dxa"/>
          </w:tcPr>
          <w:p w:rsidR="003A0DD2" w:rsidRDefault="003A0DD2" w:rsidP="00C42698">
            <w:pPr>
              <w:rPr>
                <w:rFonts w:ascii="Times New Roman" w:hAnsi="Times New Roman"/>
              </w:rPr>
            </w:pPr>
          </w:p>
        </w:tc>
      </w:tr>
      <w:tr w:rsidR="003A0DD2" w:rsidTr="00C42698">
        <w:tc>
          <w:tcPr>
            <w:tcW w:w="2130" w:type="dxa"/>
          </w:tcPr>
          <w:p w:rsidR="003A0DD2" w:rsidRPr="00E80E9F" w:rsidRDefault="003A0DD2" w:rsidP="00C42698">
            <w:pPr>
              <w:rPr>
                <w:rFonts w:ascii="Times New Roman" w:hAnsi="Times New Roman"/>
                <w:i/>
              </w:rPr>
            </w:pPr>
            <w:proofErr w:type="spellStart"/>
            <w:r w:rsidRPr="00E80E9F">
              <w:rPr>
                <w:rFonts w:ascii="Times New Roman" w:hAnsi="Times New Roman"/>
                <w:i/>
              </w:rPr>
              <w:t>Cumann</w:t>
            </w:r>
            <w:proofErr w:type="spellEnd"/>
            <w:r w:rsidRPr="00E80E9F">
              <w:rPr>
                <w:rFonts w:ascii="Times New Roman" w:hAnsi="Times New Roman"/>
                <w:i/>
              </w:rPr>
              <w:t xml:space="preserve"> </w:t>
            </w:r>
            <w:proofErr w:type="spellStart"/>
            <w:r w:rsidRPr="00E80E9F">
              <w:rPr>
                <w:rFonts w:ascii="Times New Roman" w:hAnsi="Times New Roman"/>
                <w:i/>
              </w:rPr>
              <w:t>Poblacta</w:t>
            </w:r>
            <w:proofErr w:type="spellEnd"/>
            <w:r w:rsidRPr="00E80E9F">
              <w:rPr>
                <w:rFonts w:ascii="Times New Roman" w:hAnsi="Times New Roman"/>
                <w:i/>
              </w:rPr>
              <w:t xml:space="preserve"> </w:t>
            </w:r>
            <w:proofErr w:type="spellStart"/>
            <w:r w:rsidRPr="00E80E9F">
              <w:rPr>
                <w:rFonts w:ascii="Times New Roman" w:hAnsi="Times New Roman"/>
                <w:i/>
              </w:rPr>
              <w:t>na</w:t>
            </w:r>
            <w:proofErr w:type="spellEnd"/>
            <w:r w:rsidRPr="00E80E9F">
              <w:rPr>
                <w:rFonts w:ascii="Times New Roman" w:hAnsi="Times New Roman"/>
                <w:i/>
              </w:rPr>
              <w:t xml:space="preserve"> </w:t>
            </w:r>
            <w:proofErr w:type="spellStart"/>
            <w:r w:rsidRPr="00E80E9F">
              <w:rPr>
                <w:rFonts w:ascii="Times New Roman" w:hAnsi="Times New Roman"/>
                <w:i/>
              </w:rPr>
              <w:t>h’Eireann</w:t>
            </w:r>
            <w:proofErr w:type="spellEnd"/>
          </w:p>
        </w:tc>
        <w:tc>
          <w:tcPr>
            <w:tcW w:w="1398" w:type="dxa"/>
          </w:tcPr>
          <w:p w:rsidR="003A0DD2" w:rsidRDefault="003A0DD2" w:rsidP="00C42698">
            <w:pPr>
              <w:rPr>
                <w:rFonts w:ascii="Times New Roman" w:hAnsi="Times New Roman"/>
              </w:rPr>
            </w:pPr>
            <w:r>
              <w:rPr>
                <w:rFonts w:ascii="Times New Roman" w:hAnsi="Times New Roman"/>
              </w:rPr>
              <w:t>1936</w:t>
            </w:r>
          </w:p>
        </w:tc>
        <w:tc>
          <w:tcPr>
            <w:tcW w:w="3524" w:type="dxa"/>
          </w:tcPr>
          <w:p w:rsidR="003A0DD2" w:rsidRDefault="003A0DD2" w:rsidP="00C42698">
            <w:pPr>
              <w:rPr>
                <w:rFonts w:ascii="Times New Roman" w:hAnsi="Times New Roman"/>
              </w:rPr>
            </w:pPr>
            <w:r>
              <w:rPr>
                <w:rFonts w:ascii="Times New Roman" w:hAnsi="Times New Roman"/>
              </w:rPr>
              <w:t>Special Powers Act 1922</w:t>
            </w:r>
          </w:p>
        </w:tc>
        <w:tc>
          <w:tcPr>
            <w:tcW w:w="1470" w:type="dxa"/>
          </w:tcPr>
          <w:p w:rsidR="003A0DD2" w:rsidRDefault="003A0DD2" w:rsidP="00C42698">
            <w:pPr>
              <w:rPr>
                <w:rFonts w:ascii="Times New Roman" w:hAnsi="Times New Roman"/>
              </w:rPr>
            </w:pPr>
          </w:p>
        </w:tc>
      </w:tr>
      <w:tr w:rsidR="003A0DD2" w:rsidTr="00C42698">
        <w:tc>
          <w:tcPr>
            <w:tcW w:w="2130" w:type="dxa"/>
          </w:tcPr>
          <w:p w:rsidR="003A0DD2" w:rsidRPr="00E80E9F" w:rsidRDefault="003A0DD2" w:rsidP="00C42698">
            <w:pPr>
              <w:rPr>
                <w:rFonts w:ascii="Times New Roman" w:hAnsi="Times New Roman"/>
                <w:i/>
              </w:rPr>
            </w:pPr>
            <w:proofErr w:type="spellStart"/>
            <w:r w:rsidRPr="00E80E9F">
              <w:rPr>
                <w:rFonts w:ascii="Times New Roman" w:hAnsi="Times New Roman"/>
                <w:i/>
              </w:rPr>
              <w:t>Fianna</w:t>
            </w:r>
            <w:proofErr w:type="spellEnd"/>
            <w:r w:rsidRPr="00E80E9F">
              <w:rPr>
                <w:rFonts w:ascii="Times New Roman" w:hAnsi="Times New Roman"/>
                <w:i/>
              </w:rPr>
              <w:t xml:space="preserve"> </w:t>
            </w:r>
            <w:proofErr w:type="spellStart"/>
            <w:r w:rsidRPr="00E80E9F">
              <w:rPr>
                <w:rFonts w:ascii="Times New Roman" w:hAnsi="Times New Roman"/>
                <w:i/>
              </w:rPr>
              <w:t>Uladh</w:t>
            </w:r>
            <w:proofErr w:type="spellEnd"/>
            <w:r w:rsidRPr="00E80E9F">
              <w:rPr>
                <w:rFonts w:ascii="Times New Roman" w:hAnsi="Times New Roman"/>
                <w:i/>
              </w:rPr>
              <w:t xml:space="preserve"> </w:t>
            </w:r>
          </w:p>
        </w:tc>
        <w:tc>
          <w:tcPr>
            <w:tcW w:w="1398" w:type="dxa"/>
          </w:tcPr>
          <w:p w:rsidR="003A0DD2" w:rsidRDefault="003A0DD2" w:rsidP="00C42698">
            <w:pPr>
              <w:rPr>
                <w:rFonts w:ascii="Times New Roman" w:hAnsi="Times New Roman"/>
              </w:rPr>
            </w:pPr>
            <w:r>
              <w:rPr>
                <w:rFonts w:ascii="Times New Roman" w:hAnsi="Times New Roman"/>
              </w:rPr>
              <w:t>1956</w:t>
            </w:r>
          </w:p>
        </w:tc>
        <w:tc>
          <w:tcPr>
            <w:tcW w:w="3524" w:type="dxa"/>
          </w:tcPr>
          <w:p w:rsidR="003A0DD2" w:rsidRDefault="003A0DD2" w:rsidP="00C42698">
            <w:pPr>
              <w:rPr>
                <w:rFonts w:ascii="Times New Roman" w:hAnsi="Times New Roman"/>
              </w:rPr>
            </w:pPr>
            <w:r>
              <w:rPr>
                <w:rFonts w:ascii="Times New Roman" w:hAnsi="Times New Roman"/>
              </w:rPr>
              <w:t>Special Powers Act 1922</w:t>
            </w:r>
          </w:p>
        </w:tc>
        <w:tc>
          <w:tcPr>
            <w:tcW w:w="1470" w:type="dxa"/>
          </w:tcPr>
          <w:p w:rsidR="003A0DD2" w:rsidRDefault="003A0DD2" w:rsidP="00C42698">
            <w:pPr>
              <w:rPr>
                <w:rFonts w:ascii="Times New Roman" w:hAnsi="Times New Roman"/>
              </w:rPr>
            </w:pPr>
          </w:p>
        </w:tc>
      </w:tr>
      <w:tr w:rsidR="003A0DD2" w:rsidTr="00C42698">
        <w:tc>
          <w:tcPr>
            <w:tcW w:w="2130" w:type="dxa"/>
          </w:tcPr>
          <w:p w:rsidR="003A0DD2" w:rsidRDefault="003A0DD2" w:rsidP="00C42698">
            <w:pPr>
              <w:rPr>
                <w:rFonts w:ascii="Times New Roman" w:hAnsi="Times New Roman"/>
              </w:rPr>
            </w:pPr>
            <w:r>
              <w:rPr>
                <w:rFonts w:ascii="Times New Roman" w:hAnsi="Times New Roman"/>
              </w:rPr>
              <w:t>Republican Clubs</w:t>
            </w:r>
          </w:p>
        </w:tc>
        <w:tc>
          <w:tcPr>
            <w:tcW w:w="1398" w:type="dxa"/>
          </w:tcPr>
          <w:p w:rsidR="003A0DD2" w:rsidRDefault="003A0DD2" w:rsidP="00C42698">
            <w:pPr>
              <w:rPr>
                <w:rFonts w:ascii="Times New Roman" w:hAnsi="Times New Roman"/>
              </w:rPr>
            </w:pPr>
            <w:r>
              <w:rPr>
                <w:rFonts w:ascii="Times New Roman" w:hAnsi="Times New Roman"/>
              </w:rPr>
              <w:t>1967</w:t>
            </w:r>
          </w:p>
        </w:tc>
        <w:tc>
          <w:tcPr>
            <w:tcW w:w="3524" w:type="dxa"/>
          </w:tcPr>
          <w:p w:rsidR="003A0DD2" w:rsidRDefault="003A0DD2" w:rsidP="00C42698">
            <w:pPr>
              <w:rPr>
                <w:rFonts w:ascii="Times New Roman" w:hAnsi="Times New Roman"/>
              </w:rPr>
            </w:pPr>
            <w:r>
              <w:rPr>
                <w:rFonts w:ascii="Times New Roman" w:hAnsi="Times New Roman"/>
              </w:rPr>
              <w:t>Special Powers Act 1922</w:t>
            </w:r>
          </w:p>
        </w:tc>
        <w:tc>
          <w:tcPr>
            <w:tcW w:w="1470" w:type="dxa"/>
          </w:tcPr>
          <w:p w:rsidR="003A0DD2" w:rsidRDefault="003A0DD2" w:rsidP="00C42698">
            <w:pPr>
              <w:rPr>
                <w:rFonts w:ascii="Times New Roman" w:hAnsi="Times New Roman"/>
              </w:rPr>
            </w:pPr>
            <w:r w:rsidRPr="00EA410F">
              <w:rPr>
                <w:rFonts w:ascii="Times New Roman" w:hAnsi="Times New Roman"/>
              </w:rPr>
              <w:t xml:space="preserve">17 April 1973 </w:t>
            </w:r>
          </w:p>
        </w:tc>
      </w:tr>
    </w:tbl>
    <w:p w:rsidR="0021746F" w:rsidRDefault="0021746F">
      <w:pPr>
        <w:spacing w:after="0" w:line="240" w:lineRule="auto"/>
        <w:rPr>
          <w:rFonts w:ascii="Times New Roman" w:hAnsi="Times New Roman"/>
          <w:b/>
          <w:sz w:val="24"/>
          <w:szCs w:val="24"/>
          <w:lang w:val="en-US"/>
        </w:rPr>
      </w:pPr>
    </w:p>
    <w:p w:rsidR="003A0DD2" w:rsidRDefault="003A0DD2">
      <w:pPr>
        <w:spacing w:after="0" w:line="240" w:lineRule="auto"/>
        <w:rPr>
          <w:rFonts w:ascii="Times New Roman" w:hAnsi="Times New Roman"/>
          <w:b/>
          <w:sz w:val="24"/>
          <w:szCs w:val="24"/>
          <w:lang w:val="en-US"/>
        </w:rPr>
      </w:pPr>
    </w:p>
    <w:p w:rsidR="0021746F" w:rsidRDefault="0021746F">
      <w:pPr>
        <w:spacing w:after="0" w:line="240" w:lineRule="auto"/>
        <w:rPr>
          <w:rFonts w:ascii="Times New Roman" w:hAnsi="Times New Roman"/>
          <w:b/>
          <w:sz w:val="24"/>
          <w:szCs w:val="24"/>
          <w:lang w:val="en-US"/>
        </w:rPr>
      </w:pPr>
      <w:r w:rsidRPr="00FA65BA">
        <w:rPr>
          <w:rFonts w:ascii="Times New Roman" w:hAnsi="Times New Roman"/>
          <w:b/>
          <w:sz w:val="24"/>
          <w:szCs w:val="24"/>
          <w:lang w:val="en-US"/>
        </w:rPr>
        <w:t xml:space="preserve">Party bans in Spain </w:t>
      </w:r>
    </w:p>
    <w:p w:rsidR="0021746F" w:rsidRDefault="0021746F" w:rsidP="00FA65BA">
      <w:pPr>
        <w:spacing w:before="100" w:beforeAutospacing="1" w:after="100" w:afterAutospacing="1" w:line="360" w:lineRule="auto"/>
        <w:jc w:val="both"/>
        <w:rPr>
          <w:rFonts w:ascii="Times New Roman" w:hAnsi="Times New Roman"/>
          <w:sz w:val="24"/>
          <w:szCs w:val="24"/>
          <w:lang w:val="en-US"/>
        </w:rPr>
      </w:pPr>
      <w:r>
        <w:rPr>
          <w:rFonts w:ascii="Times New Roman" w:hAnsi="Times New Roman"/>
          <w:sz w:val="24"/>
          <w:szCs w:val="24"/>
        </w:rPr>
        <w:t xml:space="preserve">The 1978 Spanish Constitution does not explicitly provide for party bans, but it does not rule them out. </w:t>
      </w:r>
      <w:r>
        <w:rPr>
          <w:rFonts w:ascii="Times New Roman" w:hAnsi="Times New Roman"/>
          <w:sz w:val="24"/>
          <w:szCs w:val="24"/>
          <w:lang w:val="en-US"/>
        </w:rPr>
        <w:t xml:space="preserve">Article 6 of the Constitution states that </w:t>
      </w:r>
      <w:r w:rsidRPr="006B1996">
        <w:rPr>
          <w:rFonts w:ascii="Times New Roman" w:hAnsi="Times New Roman"/>
          <w:sz w:val="24"/>
          <w:szCs w:val="24"/>
          <w:lang w:val="en-US"/>
        </w:rPr>
        <w:t xml:space="preserve">while parties can be freely created, they must ‘respect the Constitution and the law’ and be ‘democratic in their internal structure and functioning’. </w:t>
      </w:r>
      <w:r>
        <w:rPr>
          <w:rFonts w:ascii="Times New Roman" w:hAnsi="Times New Roman"/>
          <w:sz w:val="24"/>
          <w:szCs w:val="24"/>
          <w:lang w:val="en-US"/>
        </w:rPr>
        <w:t>A</w:t>
      </w:r>
      <w:r w:rsidRPr="006B1996">
        <w:rPr>
          <w:rFonts w:ascii="Times New Roman" w:hAnsi="Times New Roman"/>
          <w:sz w:val="24"/>
          <w:szCs w:val="24"/>
          <w:lang w:val="en-US"/>
        </w:rPr>
        <w:t xml:space="preserve">s </w:t>
      </w:r>
      <w:r>
        <w:rPr>
          <w:rFonts w:ascii="Times New Roman" w:hAnsi="Times New Roman"/>
          <w:sz w:val="24"/>
          <w:szCs w:val="24"/>
          <w:lang w:val="en-US"/>
        </w:rPr>
        <w:t>‘</w:t>
      </w:r>
      <w:r w:rsidRPr="006B1996">
        <w:rPr>
          <w:rFonts w:ascii="Times New Roman" w:hAnsi="Times New Roman"/>
          <w:sz w:val="24"/>
          <w:szCs w:val="24"/>
          <w:lang w:val="en-US"/>
        </w:rPr>
        <w:t>association</w:t>
      </w:r>
      <w:r>
        <w:rPr>
          <w:rFonts w:ascii="Times New Roman" w:hAnsi="Times New Roman"/>
          <w:sz w:val="24"/>
          <w:szCs w:val="24"/>
          <w:lang w:val="en-US"/>
        </w:rPr>
        <w:t>s’</w:t>
      </w:r>
      <w:r w:rsidRPr="006B1996">
        <w:rPr>
          <w:rFonts w:ascii="Times New Roman" w:hAnsi="Times New Roman"/>
          <w:sz w:val="24"/>
          <w:szCs w:val="24"/>
          <w:lang w:val="en-US"/>
        </w:rPr>
        <w:t>, political parties are subject to article 22 prohibit</w:t>
      </w:r>
      <w:r>
        <w:rPr>
          <w:rFonts w:ascii="Times New Roman" w:hAnsi="Times New Roman"/>
          <w:sz w:val="24"/>
          <w:szCs w:val="24"/>
          <w:lang w:val="en-US"/>
        </w:rPr>
        <w:t xml:space="preserve">ions on </w:t>
      </w:r>
      <w:r w:rsidRPr="006B1996">
        <w:rPr>
          <w:rFonts w:ascii="Times New Roman" w:hAnsi="Times New Roman"/>
          <w:sz w:val="24"/>
          <w:szCs w:val="24"/>
          <w:lang w:val="en-US"/>
        </w:rPr>
        <w:t xml:space="preserve">secret and paramilitary associations and </w:t>
      </w:r>
      <w:r>
        <w:rPr>
          <w:rFonts w:ascii="Times New Roman" w:hAnsi="Times New Roman"/>
          <w:sz w:val="24"/>
          <w:szCs w:val="24"/>
          <w:lang w:val="en-US"/>
        </w:rPr>
        <w:t xml:space="preserve">the declaration that </w:t>
      </w:r>
      <w:r w:rsidRPr="006B1996">
        <w:rPr>
          <w:rFonts w:ascii="Times New Roman" w:hAnsi="Times New Roman"/>
          <w:sz w:val="24"/>
          <w:szCs w:val="24"/>
          <w:lang w:val="en-US"/>
        </w:rPr>
        <w:t>‘associations which pursue ends or use means classified as crimes are illegal’. Illicit associations, defined in article 515 of the Spanish Penal Code, includes terrorists, other violent groups and those promoting or inciting hate, violence or discrimination against others (Esparza, 2004: 117-20).</w:t>
      </w:r>
    </w:p>
    <w:p w:rsidR="0021746F" w:rsidRDefault="0021746F" w:rsidP="00FA65BA">
      <w:pPr>
        <w:autoSpaceDE w:val="0"/>
        <w:autoSpaceDN w:val="0"/>
        <w:adjustRightInd w:val="0"/>
        <w:spacing w:before="100" w:beforeAutospacing="1" w:after="100" w:afterAutospacing="1" w:line="360" w:lineRule="auto"/>
        <w:jc w:val="both"/>
        <w:rPr>
          <w:rFonts w:ascii="Times New Roman" w:hAnsi="Times New Roman"/>
          <w:sz w:val="24"/>
          <w:szCs w:val="24"/>
          <w:lang w:val="en-US"/>
        </w:rPr>
      </w:pPr>
      <w:r>
        <w:rPr>
          <w:rFonts w:ascii="Times New Roman" w:hAnsi="Times New Roman"/>
          <w:sz w:val="24"/>
          <w:szCs w:val="24"/>
          <w:lang w:val="en-US"/>
        </w:rPr>
        <w:t xml:space="preserve">Law 54/1978, the first law on political parties in democratic Spain, permitted proscription of political parties proven to be ‘illicit associations’ or which were not democratic in their internal </w:t>
      </w:r>
      <w:r>
        <w:rPr>
          <w:rFonts w:ascii="Times New Roman" w:hAnsi="Times New Roman"/>
          <w:sz w:val="24"/>
          <w:szCs w:val="24"/>
          <w:lang w:val="en-US"/>
        </w:rPr>
        <w:lastRenderedPageBreak/>
        <w:t>structure and functioning.</w:t>
      </w:r>
      <w:r>
        <w:rPr>
          <w:rStyle w:val="FootnoteReference"/>
          <w:sz w:val="24"/>
          <w:szCs w:val="24"/>
          <w:lang w:val="en-US"/>
        </w:rPr>
        <w:footnoteReference w:id="16"/>
      </w:r>
      <w:r>
        <w:rPr>
          <w:rFonts w:ascii="Times New Roman" w:hAnsi="Times New Roman"/>
          <w:sz w:val="24"/>
          <w:szCs w:val="24"/>
          <w:lang w:val="en-US"/>
        </w:rPr>
        <w:t xml:space="preserve"> In the 1980s, however, the judiciary overruled government attempts to exclude HB from the political arena by denying it registration as a political party (Esparza, 2004: 145). The 2003 ban on HB, EH and </w:t>
      </w:r>
      <w:proofErr w:type="spellStart"/>
      <w:r w:rsidRPr="00A45328">
        <w:rPr>
          <w:rFonts w:ascii="Times New Roman" w:hAnsi="Times New Roman"/>
          <w:i/>
          <w:sz w:val="24"/>
          <w:szCs w:val="24"/>
          <w:lang w:val="en-US"/>
        </w:rPr>
        <w:t>Batasuna</w:t>
      </w:r>
      <w:proofErr w:type="spellEnd"/>
      <w:r>
        <w:rPr>
          <w:rFonts w:ascii="Times New Roman" w:hAnsi="Times New Roman"/>
          <w:sz w:val="24"/>
          <w:szCs w:val="24"/>
          <w:lang w:val="en-US"/>
        </w:rPr>
        <w:t xml:space="preserve"> was, therefore, the first in democratic Spain.</w:t>
      </w:r>
    </w:p>
    <w:p w:rsidR="0021746F" w:rsidRPr="006B1996" w:rsidRDefault="0021746F" w:rsidP="00FA65BA">
      <w:pPr>
        <w:autoSpaceDE w:val="0"/>
        <w:autoSpaceDN w:val="0"/>
        <w:adjustRightInd w:val="0"/>
        <w:spacing w:before="100" w:beforeAutospacing="1" w:after="100" w:afterAutospacing="1" w:line="360" w:lineRule="auto"/>
        <w:jc w:val="both"/>
        <w:rPr>
          <w:rFonts w:ascii="Times New Roman" w:hAnsi="Times New Roman"/>
          <w:sz w:val="24"/>
          <w:szCs w:val="24"/>
          <w:lang w:val="en-US"/>
        </w:rPr>
      </w:pPr>
      <w:r>
        <w:rPr>
          <w:rFonts w:ascii="Times New Roman" w:hAnsi="Times New Roman"/>
          <w:sz w:val="24"/>
          <w:szCs w:val="24"/>
          <w:lang w:val="en-US"/>
        </w:rPr>
        <w:t xml:space="preserve">Proscription of HB, EH and </w:t>
      </w:r>
      <w:proofErr w:type="spellStart"/>
      <w:r w:rsidRPr="005A6F70">
        <w:rPr>
          <w:rFonts w:ascii="Times New Roman" w:hAnsi="Times New Roman"/>
          <w:i/>
          <w:sz w:val="24"/>
          <w:szCs w:val="24"/>
          <w:lang w:val="en-US"/>
        </w:rPr>
        <w:t>Batasuna</w:t>
      </w:r>
      <w:proofErr w:type="spellEnd"/>
      <w:r>
        <w:rPr>
          <w:rFonts w:ascii="Times New Roman" w:hAnsi="Times New Roman"/>
          <w:sz w:val="24"/>
          <w:szCs w:val="24"/>
          <w:lang w:val="en-US"/>
        </w:rPr>
        <w:t xml:space="preserve"> followed enactment of a new </w:t>
      </w:r>
      <w:r w:rsidRPr="006B1996">
        <w:rPr>
          <w:rFonts w:ascii="Times New Roman" w:hAnsi="Times New Roman"/>
          <w:sz w:val="24"/>
          <w:szCs w:val="24"/>
          <w:lang w:val="en-US"/>
        </w:rPr>
        <w:t xml:space="preserve">Organic Law on Political Parties  </w:t>
      </w:r>
      <w:r>
        <w:rPr>
          <w:rFonts w:ascii="Times New Roman" w:hAnsi="Times New Roman"/>
          <w:sz w:val="24"/>
          <w:szCs w:val="24"/>
          <w:lang w:val="en-US"/>
        </w:rPr>
        <w:t xml:space="preserve">in June </w:t>
      </w:r>
      <w:r w:rsidRPr="006B1996">
        <w:rPr>
          <w:rFonts w:ascii="Times New Roman" w:hAnsi="Times New Roman"/>
          <w:sz w:val="24"/>
          <w:szCs w:val="24"/>
          <w:lang w:val="en-US"/>
        </w:rPr>
        <w:t>2002</w:t>
      </w:r>
      <w:r>
        <w:rPr>
          <w:rFonts w:ascii="Times New Roman" w:hAnsi="Times New Roman"/>
          <w:sz w:val="24"/>
          <w:szCs w:val="24"/>
          <w:lang w:val="en-US"/>
        </w:rPr>
        <w:t xml:space="preserve"> </w:t>
      </w:r>
      <w:r w:rsidRPr="006B1996">
        <w:rPr>
          <w:rFonts w:ascii="Times New Roman" w:hAnsi="Times New Roman"/>
          <w:sz w:val="24"/>
          <w:szCs w:val="24"/>
          <w:lang w:val="en-US"/>
        </w:rPr>
        <w:t>(</w:t>
      </w:r>
      <w:r>
        <w:rPr>
          <w:rFonts w:ascii="Times New Roman" w:hAnsi="Times New Roman"/>
          <w:sz w:val="24"/>
          <w:szCs w:val="24"/>
          <w:lang w:val="en-US"/>
        </w:rPr>
        <w:t>henceforth 2002 Party Law</w:t>
      </w:r>
      <w:r w:rsidRPr="006B1996">
        <w:rPr>
          <w:rFonts w:ascii="Times New Roman" w:hAnsi="Times New Roman"/>
          <w:sz w:val="24"/>
          <w:szCs w:val="24"/>
          <w:lang w:val="en-US"/>
        </w:rPr>
        <w:t>)</w:t>
      </w:r>
      <w:r>
        <w:rPr>
          <w:rStyle w:val="FootnoteReference"/>
          <w:sz w:val="24"/>
          <w:szCs w:val="24"/>
          <w:lang w:val="en-US"/>
        </w:rPr>
        <w:footnoteReference w:id="17"/>
      </w:r>
      <w:r>
        <w:rPr>
          <w:rFonts w:ascii="Times New Roman" w:hAnsi="Times New Roman"/>
          <w:sz w:val="24"/>
          <w:szCs w:val="24"/>
          <w:lang w:val="en-US"/>
        </w:rPr>
        <w:t xml:space="preserve"> which added an additional justification for proscription; namely, </w:t>
      </w:r>
      <w:r w:rsidRPr="006B1996">
        <w:rPr>
          <w:rFonts w:ascii="Times New Roman" w:hAnsi="Times New Roman"/>
          <w:sz w:val="24"/>
          <w:szCs w:val="24"/>
          <w:lang w:val="en-US"/>
        </w:rPr>
        <w:t xml:space="preserve">conduct threatening to undermine the liberal democratic system. </w:t>
      </w:r>
      <w:r>
        <w:rPr>
          <w:rFonts w:ascii="Times New Roman" w:hAnsi="Times New Roman"/>
          <w:sz w:val="24"/>
          <w:szCs w:val="24"/>
          <w:lang w:val="en-US"/>
        </w:rPr>
        <w:t xml:space="preserve">This provision - soon used to ban HB, EH and </w:t>
      </w:r>
      <w:proofErr w:type="spellStart"/>
      <w:r w:rsidRPr="001D1A4E">
        <w:rPr>
          <w:rFonts w:ascii="Times New Roman" w:hAnsi="Times New Roman"/>
          <w:i/>
          <w:sz w:val="24"/>
          <w:szCs w:val="24"/>
          <w:lang w:val="en-US"/>
        </w:rPr>
        <w:t>Batasuna</w:t>
      </w:r>
      <w:proofErr w:type="spellEnd"/>
      <w:r>
        <w:rPr>
          <w:rFonts w:ascii="Times New Roman" w:hAnsi="Times New Roman"/>
          <w:i/>
          <w:sz w:val="24"/>
          <w:szCs w:val="24"/>
          <w:lang w:val="en-US"/>
        </w:rPr>
        <w:t xml:space="preserve"> -</w:t>
      </w:r>
      <w:r>
        <w:rPr>
          <w:rFonts w:ascii="Times New Roman" w:hAnsi="Times New Roman"/>
          <w:sz w:val="24"/>
          <w:szCs w:val="24"/>
          <w:lang w:val="en-US"/>
        </w:rPr>
        <w:t xml:space="preserve"> </w:t>
      </w:r>
      <w:r w:rsidRPr="006B1996">
        <w:rPr>
          <w:rFonts w:ascii="Times New Roman" w:hAnsi="Times New Roman"/>
          <w:sz w:val="24"/>
          <w:szCs w:val="24"/>
          <w:lang w:val="en-US"/>
        </w:rPr>
        <w:t>permitted the courts to dissolve parties which ‘violated democratic principles in a repeated and grave form, or aimed to undermine or destroy the regime of liberties, or injure or eliminate the democratic system’ (article 9.2). Conduct deemed to violate democratic principles was:</w:t>
      </w:r>
    </w:p>
    <w:p w:rsidR="0021746F" w:rsidRPr="006B1996" w:rsidRDefault="0021746F" w:rsidP="00FA65BA">
      <w:pPr>
        <w:pStyle w:val="ListParagraph"/>
        <w:numPr>
          <w:ilvl w:val="0"/>
          <w:numId w:val="5"/>
        </w:numPr>
        <w:spacing w:before="100" w:beforeAutospacing="1" w:after="100" w:afterAutospacing="1" w:line="360" w:lineRule="auto"/>
        <w:jc w:val="both"/>
        <w:rPr>
          <w:rFonts w:ascii="Times New Roman" w:hAnsi="Times New Roman"/>
          <w:sz w:val="24"/>
          <w:szCs w:val="24"/>
          <w:lang w:val="en-US"/>
        </w:rPr>
      </w:pPr>
      <w:r w:rsidRPr="006B1996">
        <w:rPr>
          <w:rFonts w:ascii="Times New Roman" w:hAnsi="Times New Roman"/>
          <w:sz w:val="24"/>
          <w:szCs w:val="24"/>
          <w:lang w:val="en-US"/>
        </w:rPr>
        <w:t xml:space="preserve">promoting, justifying or excusing attacks on </w:t>
      </w:r>
      <w:r>
        <w:rPr>
          <w:rFonts w:ascii="Times New Roman" w:hAnsi="Times New Roman"/>
          <w:sz w:val="24"/>
          <w:szCs w:val="24"/>
          <w:lang w:val="en-US"/>
        </w:rPr>
        <w:t xml:space="preserve">peoples’ </w:t>
      </w:r>
      <w:r w:rsidRPr="006B1996">
        <w:rPr>
          <w:rFonts w:ascii="Times New Roman" w:hAnsi="Times New Roman"/>
          <w:sz w:val="24"/>
          <w:szCs w:val="24"/>
          <w:lang w:val="en-US"/>
        </w:rPr>
        <w:t>life or integrity, or exclusion or persecution of people because of their ideology, religion or beliefs, nationality, race, sex or sexual orientation</w:t>
      </w:r>
    </w:p>
    <w:p w:rsidR="0021746F" w:rsidRPr="006B1996" w:rsidRDefault="0021746F" w:rsidP="00FA65BA">
      <w:pPr>
        <w:pStyle w:val="ListParagraph"/>
        <w:numPr>
          <w:ilvl w:val="0"/>
          <w:numId w:val="5"/>
        </w:numPr>
        <w:spacing w:before="100" w:beforeAutospacing="1" w:after="100" w:afterAutospacing="1" w:line="360" w:lineRule="auto"/>
        <w:jc w:val="both"/>
        <w:rPr>
          <w:rFonts w:ascii="Times New Roman" w:hAnsi="Times New Roman"/>
          <w:sz w:val="24"/>
          <w:szCs w:val="24"/>
          <w:lang w:val="en-US"/>
        </w:rPr>
      </w:pPr>
      <w:r w:rsidRPr="006B1996">
        <w:rPr>
          <w:rFonts w:ascii="Times New Roman" w:hAnsi="Times New Roman"/>
          <w:sz w:val="24"/>
          <w:szCs w:val="24"/>
          <w:lang w:val="en-US"/>
        </w:rPr>
        <w:t>Encouraging, promoting or legitimizing violence as a means to achieve political goals, or destroying conditions necessary for democracy, pluralism and political liberties</w:t>
      </w:r>
    </w:p>
    <w:p w:rsidR="0021746F" w:rsidRPr="006B1996" w:rsidRDefault="0021746F" w:rsidP="00FA65BA">
      <w:pPr>
        <w:numPr>
          <w:ilvl w:val="0"/>
          <w:numId w:val="5"/>
        </w:numPr>
        <w:spacing w:before="100" w:beforeAutospacing="1" w:after="100" w:afterAutospacing="1" w:line="360" w:lineRule="auto"/>
        <w:jc w:val="both"/>
        <w:rPr>
          <w:rFonts w:ascii="Times New Roman" w:hAnsi="Times New Roman"/>
          <w:sz w:val="24"/>
          <w:szCs w:val="24"/>
          <w:lang w:val="en-US"/>
        </w:rPr>
      </w:pPr>
      <w:r w:rsidRPr="006B1996">
        <w:rPr>
          <w:rFonts w:ascii="Times New Roman" w:hAnsi="Times New Roman"/>
          <w:sz w:val="24"/>
          <w:szCs w:val="24"/>
          <w:lang w:val="en-US"/>
        </w:rPr>
        <w:t>Complementing or supporting politically, the activities of terrorist organizations which aim to subvert the constitutional order, gravely alter public peace, create a climate of fear, or enhance the effects of fear and intimidation generated by terrorist violence</w:t>
      </w:r>
      <w:r>
        <w:rPr>
          <w:rFonts w:ascii="Times New Roman" w:hAnsi="Times New Roman"/>
          <w:sz w:val="24"/>
          <w:szCs w:val="24"/>
          <w:lang w:val="en-US"/>
        </w:rPr>
        <w:t>.</w:t>
      </w:r>
      <w:r w:rsidRPr="006B1996">
        <w:rPr>
          <w:rFonts w:ascii="Times New Roman" w:hAnsi="Times New Roman"/>
          <w:sz w:val="24"/>
          <w:szCs w:val="24"/>
          <w:lang w:val="en-US"/>
        </w:rPr>
        <w:t xml:space="preserve"> </w:t>
      </w:r>
    </w:p>
    <w:p w:rsidR="0021746F" w:rsidRDefault="0021746F" w:rsidP="00FA65BA">
      <w:pPr>
        <w:autoSpaceDE w:val="0"/>
        <w:autoSpaceDN w:val="0"/>
        <w:adjustRightInd w:val="0"/>
        <w:spacing w:before="100" w:beforeAutospacing="1" w:after="100" w:afterAutospacing="1" w:line="360" w:lineRule="auto"/>
        <w:jc w:val="both"/>
        <w:rPr>
          <w:rFonts w:ascii="Times New Roman" w:hAnsi="Times New Roman"/>
          <w:sz w:val="24"/>
          <w:szCs w:val="24"/>
          <w:lang w:val="en-US"/>
        </w:rPr>
      </w:pPr>
      <w:r>
        <w:rPr>
          <w:rFonts w:ascii="Times New Roman" w:hAnsi="Times New Roman"/>
          <w:sz w:val="24"/>
          <w:szCs w:val="24"/>
          <w:lang w:val="en-US"/>
        </w:rPr>
        <w:t xml:space="preserve">In 2003, the Supreme Court accepted the </w:t>
      </w:r>
      <w:r w:rsidRPr="006B1996">
        <w:rPr>
          <w:rFonts w:ascii="Times New Roman" w:hAnsi="Times New Roman"/>
          <w:sz w:val="24"/>
          <w:szCs w:val="24"/>
          <w:lang w:val="en-US"/>
        </w:rPr>
        <w:t>government and Public Prosecutor</w:t>
      </w:r>
      <w:r>
        <w:rPr>
          <w:rFonts w:ascii="Times New Roman" w:hAnsi="Times New Roman"/>
          <w:sz w:val="24"/>
          <w:szCs w:val="24"/>
          <w:lang w:val="en-US"/>
        </w:rPr>
        <w:t>’s</w:t>
      </w:r>
      <w:r w:rsidRPr="006B1996">
        <w:rPr>
          <w:rFonts w:ascii="Times New Roman" w:hAnsi="Times New Roman"/>
          <w:sz w:val="24"/>
          <w:szCs w:val="24"/>
          <w:lang w:val="en-US"/>
        </w:rPr>
        <w:t xml:space="preserve"> </w:t>
      </w:r>
      <w:r>
        <w:rPr>
          <w:rFonts w:ascii="Times New Roman" w:hAnsi="Times New Roman"/>
          <w:sz w:val="24"/>
          <w:szCs w:val="24"/>
          <w:lang w:val="en-US"/>
        </w:rPr>
        <w:t xml:space="preserve">arguments that HB, EH and </w:t>
      </w:r>
      <w:proofErr w:type="spellStart"/>
      <w:r w:rsidRPr="004C79BA">
        <w:rPr>
          <w:rFonts w:ascii="Times New Roman" w:hAnsi="Times New Roman"/>
          <w:i/>
          <w:sz w:val="24"/>
          <w:szCs w:val="24"/>
          <w:lang w:val="en-US"/>
        </w:rPr>
        <w:t>Batasuna</w:t>
      </w:r>
      <w:proofErr w:type="spellEnd"/>
      <w:r>
        <w:rPr>
          <w:rFonts w:ascii="Times New Roman" w:hAnsi="Times New Roman"/>
          <w:sz w:val="24"/>
          <w:szCs w:val="24"/>
          <w:lang w:val="en-US"/>
        </w:rPr>
        <w:t xml:space="preserve"> </w:t>
      </w:r>
      <w:r w:rsidRPr="006B1996">
        <w:rPr>
          <w:rFonts w:ascii="Times New Roman" w:hAnsi="Times New Roman"/>
          <w:sz w:val="24"/>
          <w:szCs w:val="24"/>
          <w:lang w:val="en-US"/>
        </w:rPr>
        <w:t xml:space="preserve">were subject to </w:t>
      </w:r>
      <w:r>
        <w:rPr>
          <w:rFonts w:ascii="Times New Roman" w:hAnsi="Times New Roman"/>
          <w:sz w:val="24"/>
          <w:szCs w:val="24"/>
          <w:lang w:val="en-US"/>
        </w:rPr>
        <w:t xml:space="preserve">the </w:t>
      </w:r>
      <w:r w:rsidRPr="006B1996">
        <w:rPr>
          <w:rFonts w:ascii="Times New Roman" w:hAnsi="Times New Roman"/>
          <w:sz w:val="24"/>
          <w:szCs w:val="24"/>
          <w:lang w:val="en-US"/>
        </w:rPr>
        <w:t>strategy and mandates</w:t>
      </w:r>
      <w:r>
        <w:rPr>
          <w:rFonts w:ascii="Times New Roman" w:hAnsi="Times New Roman"/>
          <w:sz w:val="24"/>
          <w:szCs w:val="24"/>
          <w:lang w:val="en-US"/>
        </w:rPr>
        <w:t xml:space="preserve"> of ETA</w:t>
      </w:r>
      <w:r w:rsidRPr="006B1996">
        <w:rPr>
          <w:rFonts w:ascii="Times New Roman" w:hAnsi="Times New Roman"/>
          <w:sz w:val="24"/>
          <w:szCs w:val="24"/>
          <w:lang w:val="en-US"/>
        </w:rPr>
        <w:t xml:space="preserve"> (</w:t>
      </w:r>
      <w:proofErr w:type="spellStart"/>
      <w:r w:rsidRPr="006B1996">
        <w:rPr>
          <w:rFonts w:ascii="Times New Roman" w:hAnsi="Times New Roman"/>
          <w:sz w:val="24"/>
          <w:szCs w:val="24"/>
          <w:lang w:val="en-US"/>
        </w:rPr>
        <w:t>Tajadura</w:t>
      </w:r>
      <w:proofErr w:type="spellEnd"/>
      <w:r w:rsidRPr="006B1996">
        <w:rPr>
          <w:rFonts w:ascii="Times New Roman" w:hAnsi="Times New Roman"/>
          <w:sz w:val="24"/>
          <w:szCs w:val="24"/>
          <w:lang w:val="en-US"/>
        </w:rPr>
        <w:t xml:space="preserve"> and </w:t>
      </w:r>
      <w:proofErr w:type="spellStart"/>
      <w:r w:rsidRPr="006B1996">
        <w:rPr>
          <w:rFonts w:ascii="Times New Roman" w:hAnsi="Times New Roman"/>
          <w:sz w:val="24"/>
          <w:szCs w:val="24"/>
          <w:lang w:val="en-US"/>
        </w:rPr>
        <w:t>Vírgala</w:t>
      </w:r>
      <w:proofErr w:type="spellEnd"/>
      <w:r w:rsidRPr="006B1996">
        <w:rPr>
          <w:rFonts w:ascii="Times New Roman" w:hAnsi="Times New Roman"/>
          <w:sz w:val="24"/>
          <w:szCs w:val="24"/>
          <w:lang w:val="en-US"/>
        </w:rPr>
        <w:t xml:space="preserve">, 2008: </w:t>
      </w:r>
      <w:r>
        <w:rPr>
          <w:rFonts w:ascii="Times New Roman" w:hAnsi="Times New Roman"/>
          <w:sz w:val="24"/>
          <w:szCs w:val="24"/>
          <w:lang w:val="en-US"/>
        </w:rPr>
        <w:t>66-74)</w:t>
      </w:r>
      <w:r w:rsidRPr="006B1996">
        <w:rPr>
          <w:rFonts w:ascii="Times New Roman" w:hAnsi="Times New Roman"/>
          <w:sz w:val="24"/>
          <w:szCs w:val="24"/>
          <w:lang w:val="en-US"/>
        </w:rPr>
        <w:t>.</w:t>
      </w:r>
      <w:r w:rsidRPr="006B1996">
        <w:rPr>
          <w:rStyle w:val="FootnoteReference"/>
          <w:sz w:val="24"/>
          <w:szCs w:val="24"/>
          <w:lang w:val="en-US"/>
        </w:rPr>
        <w:footnoteReference w:id="18"/>
      </w:r>
      <w:r w:rsidRPr="006B1996">
        <w:rPr>
          <w:rFonts w:ascii="Times New Roman" w:hAnsi="Times New Roman"/>
          <w:sz w:val="24"/>
          <w:szCs w:val="24"/>
          <w:lang w:val="en-US"/>
        </w:rPr>
        <w:t xml:space="preserve"> </w:t>
      </w:r>
      <w:r>
        <w:rPr>
          <w:rFonts w:ascii="Times New Roman" w:hAnsi="Times New Roman"/>
          <w:sz w:val="24"/>
          <w:szCs w:val="24"/>
          <w:lang w:val="en-US"/>
        </w:rPr>
        <w:t xml:space="preserve">The Court </w:t>
      </w:r>
      <w:r w:rsidRPr="006B1996">
        <w:rPr>
          <w:rFonts w:ascii="Times New Roman" w:hAnsi="Times New Roman"/>
          <w:sz w:val="24"/>
          <w:szCs w:val="24"/>
          <w:lang w:val="en-US"/>
        </w:rPr>
        <w:t xml:space="preserve">ruled that </w:t>
      </w:r>
      <w:r>
        <w:rPr>
          <w:rFonts w:ascii="Times New Roman" w:hAnsi="Times New Roman"/>
          <w:sz w:val="24"/>
          <w:szCs w:val="24"/>
          <w:lang w:val="en-US"/>
        </w:rPr>
        <w:t>the parties</w:t>
      </w:r>
      <w:r w:rsidRPr="006B1996">
        <w:rPr>
          <w:rFonts w:ascii="Times New Roman" w:hAnsi="Times New Roman"/>
          <w:i/>
          <w:sz w:val="24"/>
          <w:szCs w:val="24"/>
          <w:lang w:val="en-US"/>
        </w:rPr>
        <w:t>,</w:t>
      </w:r>
      <w:r w:rsidRPr="006B1996">
        <w:rPr>
          <w:rFonts w:ascii="Times New Roman" w:hAnsi="Times New Roman"/>
          <w:sz w:val="24"/>
          <w:szCs w:val="24"/>
          <w:lang w:val="en-US"/>
        </w:rPr>
        <w:t xml:space="preserve"> or </w:t>
      </w:r>
      <w:r>
        <w:rPr>
          <w:rFonts w:ascii="Times New Roman" w:hAnsi="Times New Roman"/>
          <w:sz w:val="24"/>
          <w:szCs w:val="24"/>
          <w:lang w:val="en-US"/>
        </w:rPr>
        <w:t xml:space="preserve">their </w:t>
      </w:r>
      <w:r w:rsidRPr="006B1996">
        <w:rPr>
          <w:rFonts w:ascii="Times New Roman" w:hAnsi="Times New Roman"/>
          <w:sz w:val="24"/>
          <w:szCs w:val="24"/>
          <w:lang w:val="en-US"/>
        </w:rPr>
        <w:t>leading members, had explicitly or tacitly supported, excused or minimized the significance of terrorist actions; tried to neutralize and isolate opponents of terrorism; used terrorist symbols; collaborated with organizations supporting terrorism; and promoted or participated in acts of homage to terrorists</w:t>
      </w:r>
      <w:r>
        <w:rPr>
          <w:rFonts w:ascii="Times New Roman" w:hAnsi="Times New Roman"/>
          <w:sz w:val="24"/>
          <w:szCs w:val="24"/>
          <w:lang w:val="en-US"/>
        </w:rPr>
        <w:t xml:space="preserve">. </w:t>
      </w:r>
      <w:r w:rsidRPr="006B1996">
        <w:rPr>
          <w:rFonts w:ascii="Times New Roman" w:hAnsi="Times New Roman"/>
          <w:sz w:val="24"/>
          <w:szCs w:val="24"/>
          <w:lang w:val="en-US"/>
        </w:rPr>
        <w:t xml:space="preserve">This ruling was later endorsed by both the Spanish Constitutional Court and the </w:t>
      </w:r>
      <w:r>
        <w:rPr>
          <w:rFonts w:ascii="Times New Roman" w:hAnsi="Times New Roman"/>
          <w:sz w:val="24"/>
          <w:szCs w:val="24"/>
          <w:lang w:val="en-US"/>
        </w:rPr>
        <w:t>European Court of Human Rights</w:t>
      </w:r>
      <w:r w:rsidRPr="006B1996">
        <w:rPr>
          <w:rFonts w:ascii="Times New Roman" w:hAnsi="Times New Roman"/>
          <w:sz w:val="24"/>
          <w:szCs w:val="24"/>
          <w:lang w:val="en-US"/>
        </w:rPr>
        <w:t>.</w:t>
      </w:r>
    </w:p>
    <w:p w:rsidR="0021746F" w:rsidRDefault="0021746F" w:rsidP="00FD14D9">
      <w:pPr>
        <w:spacing w:before="100" w:beforeAutospacing="1" w:after="100" w:afterAutospacing="1" w:line="360" w:lineRule="auto"/>
        <w:jc w:val="both"/>
        <w:rPr>
          <w:rFonts w:ascii="Times New Roman" w:hAnsi="Times New Roman"/>
          <w:sz w:val="24"/>
          <w:szCs w:val="24"/>
          <w:lang w:val="en-US"/>
        </w:rPr>
      </w:pPr>
      <w:r w:rsidRPr="002B11F9">
        <w:rPr>
          <w:rFonts w:ascii="Times New Roman" w:hAnsi="Times New Roman"/>
          <w:sz w:val="24"/>
          <w:szCs w:val="24"/>
          <w:lang w:val="en-US"/>
        </w:rPr>
        <w:lastRenderedPageBreak/>
        <w:t>To block successor parties, the Supreme Court subsequently denied registration to two parties (</w:t>
      </w:r>
      <w:proofErr w:type="spellStart"/>
      <w:r w:rsidRPr="002B11F9">
        <w:rPr>
          <w:rFonts w:ascii="Times New Roman" w:hAnsi="Times New Roman"/>
          <w:i/>
          <w:sz w:val="24"/>
          <w:szCs w:val="24"/>
        </w:rPr>
        <w:t>Abertzale</w:t>
      </w:r>
      <w:proofErr w:type="spellEnd"/>
      <w:r w:rsidRPr="002B11F9">
        <w:rPr>
          <w:rFonts w:ascii="Times New Roman" w:hAnsi="Times New Roman"/>
          <w:i/>
          <w:sz w:val="24"/>
          <w:szCs w:val="24"/>
        </w:rPr>
        <w:t xml:space="preserve"> </w:t>
      </w:r>
      <w:proofErr w:type="spellStart"/>
      <w:r w:rsidRPr="002B11F9">
        <w:rPr>
          <w:rFonts w:ascii="Times New Roman" w:hAnsi="Times New Roman"/>
          <w:i/>
          <w:sz w:val="24"/>
          <w:szCs w:val="24"/>
        </w:rPr>
        <w:t>Sozialisten</w:t>
      </w:r>
      <w:proofErr w:type="spellEnd"/>
      <w:r w:rsidRPr="002B11F9">
        <w:rPr>
          <w:rFonts w:ascii="Times New Roman" w:hAnsi="Times New Roman"/>
          <w:i/>
          <w:sz w:val="24"/>
          <w:szCs w:val="24"/>
        </w:rPr>
        <w:t xml:space="preserve"> </w:t>
      </w:r>
      <w:proofErr w:type="spellStart"/>
      <w:r w:rsidRPr="002B11F9">
        <w:rPr>
          <w:rFonts w:ascii="Times New Roman" w:hAnsi="Times New Roman"/>
          <w:i/>
          <w:sz w:val="24"/>
          <w:szCs w:val="24"/>
        </w:rPr>
        <w:t>Batasuna</w:t>
      </w:r>
      <w:proofErr w:type="spellEnd"/>
      <w:r w:rsidRPr="002B11F9">
        <w:rPr>
          <w:rFonts w:ascii="Times New Roman" w:hAnsi="Times New Roman"/>
          <w:i/>
          <w:sz w:val="24"/>
          <w:szCs w:val="24"/>
        </w:rPr>
        <w:t xml:space="preserve"> </w:t>
      </w:r>
      <w:r w:rsidRPr="002B11F9">
        <w:rPr>
          <w:rFonts w:ascii="Times New Roman" w:hAnsi="Times New Roman"/>
          <w:sz w:val="24"/>
          <w:szCs w:val="24"/>
        </w:rPr>
        <w:t xml:space="preserve">and </w:t>
      </w:r>
      <w:proofErr w:type="spellStart"/>
      <w:r w:rsidRPr="002B11F9">
        <w:rPr>
          <w:rFonts w:ascii="Times New Roman" w:hAnsi="Times New Roman"/>
          <w:i/>
          <w:sz w:val="24"/>
          <w:szCs w:val="24"/>
        </w:rPr>
        <w:t>Sortu</w:t>
      </w:r>
      <w:proofErr w:type="spellEnd"/>
      <w:r w:rsidRPr="002B11F9">
        <w:rPr>
          <w:rFonts w:ascii="Times New Roman" w:hAnsi="Times New Roman"/>
          <w:sz w:val="24"/>
          <w:szCs w:val="24"/>
          <w:lang w:val="en-US"/>
        </w:rPr>
        <w:t>); dissolved two parties (</w:t>
      </w:r>
      <w:proofErr w:type="spellStart"/>
      <w:r w:rsidRPr="002B11F9">
        <w:rPr>
          <w:rFonts w:ascii="Times New Roman" w:hAnsi="Times New Roman"/>
          <w:i/>
          <w:sz w:val="24"/>
          <w:szCs w:val="24"/>
        </w:rPr>
        <w:t>Eusko</w:t>
      </w:r>
      <w:proofErr w:type="spellEnd"/>
      <w:r w:rsidRPr="002B11F9">
        <w:rPr>
          <w:rFonts w:ascii="Times New Roman" w:hAnsi="Times New Roman"/>
          <w:i/>
          <w:sz w:val="24"/>
          <w:szCs w:val="24"/>
        </w:rPr>
        <w:t xml:space="preserve"> </w:t>
      </w:r>
      <w:proofErr w:type="spellStart"/>
      <w:r w:rsidRPr="002B11F9">
        <w:rPr>
          <w:rFonts w:ascii="Times New Roman" w:hAnsi="Times New Roman"/>
          <w:i/>
          <w:sz w:val="24"/>
          <w:szCs w:val="24"/>
        </w:rPr>
        <w:t>Abertzale</w:t>
      </w:r>
      <w:proofErr w:type="spellEnd"/>
      <w:r w:rsidRPr="002B11F9">
        <w:rPr>
          <w:rFonts w:ascii="Times New Roman" w:hAnsi="Times New Roman"/>
          <w:i/>
          <w:sz w:val="24"/>
          <w:szCs w:val="24"/>
        </w:rPr>
        <w:t xml:space="preserve"> </w:t>
      </w:r>
      <w:proofErr w:type="spellStart"/>
      <w:r w:rsidRPr="002B11F9">
        <w:rPr>
          <w:rFonts w:ascii="Times New Roman" w:hAnsi="Times New Roman"/>
          <w:i/>
          <w:sz w:val="24"/>
          <w:szCs w:val="24"/>
        </w:rPr>
        <w:t>Ekintza</w:t>
      </w:r>
      <w:proofErr w:type="spellEnd"/>
      <w:r w:rsidRPr="002B11F9">
        <w:rPr>
          <w:rFonts w:ascii="Times New Roman" w:hAnsi="Times New Roman"/>
          <w:i/>
          <w:sz w:val="24"/>
          <w:szCs w:val="24"/>
        </w:rPr>
        <w:t xml:space="preserve"> (EAE) </w:t>
      </w:r>
      <w:r w:rsidRPr="002B11F9">
        <w:rPr>
          <w:rFonts w:ascii="Times New Roman" w:hAnsi="Times New Roman"/>
          <w:sz w:val="24"/>
          <w:szCs w:val="24"/>
        </w:rPr>
        <w:t xml:space="preserve">and </w:t>
      </w:r>
      <w:proofErr w:type="spellStart"/>
      <w:r w:rsidRPr="002B11F9">
        <w:rPr>
          <w:rFonts w:ascii="Times New Roman" w:hAnsi="Times New Roman"/>
          <w:i/>
          <w:iCs/>
          <w:sz w:val="24"/>
          <w:szCs w:val="24"/>
        </w:rPr>
        <w:t>Euskal</w:t>
      </w:r>
      <w:proofErr w:type="spellEnd"/>
      <w:r w:rsidRPr="002B11F9">
        <w:rPr>
          <w:rFonts w:ascii="Times New Roman" w:hAnsi="Times New Roman"/>
          <w:i/>
          <w:iCs/>
          <w:sz w:val="24"/>
          <w:szCs w:val="24"/>
        </w:rPr>
        <w:t xml:space="preserve"> </w:t>
      </w:r>
      <w:proofErr w:type="spellStart"/>
      <w:r w:rsidRPr="002B11F9">
        <w:rPr>
          <w:rFonts w:ascii="Times New Roman" w:hAnsi="Times New Roman"/>
          <w:i/>
          <w:iCs/>
          <w:sz w:val="24"/>
          <w:szCs w:val="24"/>
        </w:rPr>
        <w:t>Herrialdeetako</w:t>
      </w:r>
      <w:proofErr w:type="spellEnd"/>
      <w:r w:rsidRPr="002B11F9">
        <w:rPr>
          <w:rFonts w:ascii="Times New Roman" w:hAnsi="Times New Roman"/>
          <w:i/>
          <w:iCs/>
          <w:sz w:val="24"/>
          <w:szCs w:val="24"/>
        </w:rPr>
        <w:t xml:space="preserve"> </w:t>
      </w:r>
      <w:proofErr w:type="spellStart"/>
      <w:r w:rsidRPr="002B11F9">
        <w:rPr>
          <w:rFonts w:ascii="Times New Roman" w:hAnsi="Times New Roman"/>
          <w:i/>
          <w:iCs/>
          <w:sz w:val="24"/>
          <w:szCs w:val="24"/>
        </w:rPr>
        <w:t>Alderdi</w:t>
      </w:r>
      <w:proofErr w:type="spellEnd"/>
      <w:r w:rsidRPr="002B11F9">
        <w:rPr>
          <w:rFonts w:ascii="Times New Roman" w:hAnsi="Times New Roman"/>
          <w:i/>
          <w:iCs/>
          <w:sz w:val="24"/>
          <w:szCs w:val="24"/>
        </w:rPr>
        <w:t xml:space="preserve"> </w:t>
      </w:r>
      <w:proofErr w:type="spellStart"/>
      <w:r w:rsidRPr="002B11F9">
        <w:rPr>
          <w:rFonts w:ascii="Times New Roman" w:hAnsi="Times New Roman"/>
          <w:i/>
          <w:iCs/>
          <w:sz w:val="24"/>
          <w:szCs w:val="24"/>
        </w:rPr>
        <w:t>Komunista</w:t>
      </w:r>
      <w:proofErr w:type="spellEnd"/>
      <w:r w:rsidRPr="002B11F9">
        <w:rPr>
          <w:rFonts w:ascii="Times New Roman" w:hAnsi="Times New Roman"/>
          <w:i/>
          <w:iCs/>
          <w:sz w:val="24"/>
          <w:szCs w:val="24"/>
        </w:rPr>
        <w:t>)</w:t>
      </w:r>
      <w:r w:rsidRPr="002B11F9">
        <w:rPr>
          <w:rFonts w:ascii="Times New Roman" w:hAnsi="Times New Roman"/>
          <w:sz w:val="24"/>
          <w:szCs w:val="24"/>
          <w:lang w:val="en-US"/>
        </w:rPr>
        <w:t>;</w:t>
      </w:r>
      <w:r w:rsidRPr="002B11F9">
        <w:rPr>
          <w:rFonts w:ascii="Times New Roman" w:hAnsi="Times New Roman"/>
          <w:i/>
          <w:sz w:val="24"/>
          <w:szCs w:val="24"/>
          <w:lang w:val="en-US"/>
        </w:rPr>
        <w:t xml:space="preserve"> </w:t>
      </w:r>
      <w:r w:rsidRPr="002B11F9">
        <w:rPr>
          <w:rFonts w:ascii="Times New Roman" w:hAnsi="Times New Roman"/>
          <w:sz w:val="24"/>
          <w:szCs w:val="24"/>
          <w:lang w:val="en-US"/>
        </w:rPr>
        <w:t>and disqualified two party lists for particular elections (EAE</w:t>
      </w:r>
      <w:r w:rsidRPr="002B11F9">
        <w:rPr>
          <w:rFonts w:ascii="Times New Roman" w:hAnsi="Times New Roman"/>
          <w:i/>
          <w:sz w:val="24"/>
          <w:szCs w:val="24"/>
          <w:lang w:val="en-US"/>
        </w:rPr>
        <w:t xml:space="preserve"> </w:t>
      </w:r>
      <w:r w:rsidRPr="002B11F9">
        <w:rPr>
          <w:rFonts w:ascii="Times New Roman" w:hAnsi="Times New Roman"/>
          <w:sz w:val="24"/>
          <w:szCs w:val="24"/>
          <w:lang w:val="en-US"/>
        </w:rPr>
        <w:t xml:space="preserve">and </w:t>
      </w:r>
      <w:proofErr w:type="spellStart"/>
      <w:r w:rsidRPr="002B11F9">
        <w:rPr>
          <w:rFonts w:ascii="Times New Roman" w:hAnsi="Times New Roman"/>
          <w:i/>
          <w:sz w:val="24"/>
          <w:szCs w:val="24"/>
          <w:lang w:val="en-US"/>
        </w:rPr>
        <w:t>Askatasuna</w:t>
      </w:r>
      <w:proofErr w:type="spellEnd"/>
      <w:r w:rsidRPr="002B11F9">
        <w:rPr>
          <w:rFonts w:ascii="Times New Roman" w:hAnsi="Times New Roman"/>
          <w:sz w:val="24"/>
          <w:szCs w:val="24"/>
          <w:lang w:val="en-US"/>
        </w:rPr>
        <w:t>). Some five hundred lists of candidates presented by electoral groupings have been disqualified for local, provincial, autonomous community and European Parliament elections (</w:t>
      </w:r>
      <w:r w:rsidRPr="002B11F9">
        <w:rPr>
          <w:rFonts w:ascii="Times New Roman" w:hAnsi="Times New Roman"/>
          <w:sz w:val="24"/>
          <w:szCs w:val="24"/>
        </w:rPr>
        <w:t xml:space="preserve">including </w:t>
      </w:r>
      <w:proofErr w:type="spellStart"/>
      <w:r w:rsidRPr="002B11F9">
        <w:rPr>
          <w:rFonts w:ascii="Times New Roman" w:hAnsi="Times New Roman"/>
          <w:i/>
          <w:sz w:val="24"/>
          <w:szCs w:val="24"/>
        </w:rPr>
        <w:t>Autodeterminaziorako</w:t>
      </w:r>
      <w:proofErr w:type="spellEnd"/>
      <w:r w:rsidRPr="002B11F9">
        <w:rPr>
          <w:rFonts w:ascii="Times New Roman" w:hAnsi="Times New Roman"/>
          <w:i/>
          <w:sz w:val="24"/>
          <w:szCs w:val="24"/>
        </w:rPr>
        <w:t xml:space="preserve"> </w:t>
      </w:r>
      <w:proofErr w:type="spellStart"/>
      <w:r w:rsidRPr="002B11F9">
        <w:rPr>
          <w:rFonts w:ascii="Times New Roman" w:hAnsi="Times New Roman"/>
          <w:i/>
          <w:sz w:val="24"/>
          <w:szCs w:val="24"/>
        </w:rPr>
        <w:t>Bilgunea</w:t>
      </w:r>
      <w:proofErr w:type="spellEnd"/>
      <w:r w:rsidRPr="002B11F9">
        <w:rPr>
          <w:rFonts w:ascii="Times New Roman" w:hAnsi="Times New Roman"/>
          <w:i/>
          <w:sz w:val="24"/>
          <w:szCs w:val="24"/>
        </w:rPr>
        <w:t xml:space="preserve">, </w:t>
      </w:r>
      <w:proofErr w:type="spellStart"/>
      <w:r w:rsidRPr="002B11F9">
        <w:rPr>
          <w:rFonts w:ascii="Times New Roman" w:hAnsi="Times New Roman"/>
          <w:i/>
          <w:sz w:val="24"/>
          <w:szCs w:val="24"/>
        </w:rPr>
        <w:t>Herritarren</w:t>
      </w:r>
      <w:proofErr w:type="spellEnd"/>
      <w:r w:rsidRPr="002B11F9">
        <w:rPr>
          <w:rFonts w:ascii="Times New Roman" w:hAnsi="Times New Roman"/>
          <w:i/>
          <w:sz w:val="24"/>
          <w:szCs w:val="24"/>
        </w:rPr>
        <w:t xml:space="preserve"> </w:t>
      </w:r>
      <w:proofErr w:type="spellStart"/>
      <w:r w:rsidRPr="002B11F9">
        <w:rPr>
          <w:rFonts w:ascii="Times New Roman" w:hAnsi="Times New Roman"/>
          <w:i/>
          <w:sz w:val="24"/>
          <w:szCs w:val="24"/>
        </w:rPr>
        <w:t>Zerrenda</w:t>
      </w:r>
      <w:proofErr w:type="spellEnd"/>
      <w:r w:rsidRPr="002B11F9">
        <w:rPr>
          <w:rFonts w:ascii="Times New Roman" w:hAnsi="Times New Roman"/>
          <w:i/>
          <w:sz w:val="24"/>
          <w:szCs w:val="24"/>
        </w:rPr>
        <w:t xml:space="preserve">, </w:t>
      </w:r>
      <w:proofErr w:type="spellStart"/>
      <w:r w:rsidRPr="002B11F9">
        <w:rPr>
          <w:rFonts w:ascii="Times New Roman" w:hAnsi="Times New Roman"/>
          <w:i/>
          <w:sz w:val="24"/>
          <w:szCs w:val="24"/>
        </w:rPr>
        <w:t>Aukera</w:t>
      </w:r>
      <w:proofErr w:type="spellEnd"/>
      <w:r w:rsidRPr="002B11F9">
        <w:rPr>
          <w:rFonts w:ascii="Times New Roman" w:hAnsi="Times New Roman"/>
          <w:i/>
          <w:sz w:val="24"/>
          <w:szCs w:val="24"/>
        </w:rPr>
        <w:t xml:space="preserve"> </w:t>
      </w:r>
      <w:proofErr w:type="spellStart"/>
      <w:r w:rsidRPr="002B11F9">
        <w:rPr>
          <w:rFonts w:ascii="Times New Roman" w:hAnsi="Times New Roman"/>
          <w:i/>
          <w:sz w:val="24"/>
          <w:szCs w:val="24"/>
        </w:rPr>
        <w:t>Guztiak</w:t>
      </w:r>
      <w:proofErr w:type="spellEnd"/>
      <w:r w:rsidRPr="002B11F9">
        <w:rPr>
          <w:rFonts w:ascii="Times New Roman" w:hAnsi="Times New Roman"/>
          <w:i/>
          <w:sz w:val="24"/>
          <w:szCs w:val="24"/>
        </w:rPr>
        <w:t xml:space="preserve">, </w:t>
      </w:r>
      <w:proofErr w:type="spellStart"/>
      <w:r w:rsidRPr="002B11F9">
        <w:rPr>
          <w:rFonts w:ascii="Times New Roman" w:hAnsi="Times New Roman"/>
          <w:i/>
          <w:sz w:val="24"/>
          <w:szCs w:val="24"/>
        </w:rPr>
        <w:t>Abertzale</w:t>
      </w:r>
      <w:proofErr w:type="spellEnd"/>
      <w:r w:rsidRPr="002B11F9">
        <w:rPr>
          <w:rFonts w:ascii="Times New Roman" w:hAnsi="Times New Roman"/>
          <w:i/>
          <w:sz w:val="24"/>
          <w:szCs w:val="24"/>
        </w:rPr>
        <w:t xml:space="preserve"> </w:t>
      </w:r>
      <w:proofErr w:type="spellStart"/>
      <w:r w:rsidRPr="002B11F9">
        <w:rPr>
          <w:rFonts w:ascii="Times New Roman" w:hAnsi="Times New Roman"/>
          <w:i/>
          <w:sz w:val="24"/>
          <w:szCs w:val="24"/>
        </w:rPr>
        <w:t>Sozialistak</w:t>
      </w:r>
      <w:proofErr w:type="spellEnd"/>
      <w:r w:rsidRPr="002B11F9">
        <w:rPr>
          <w:rFonts w:ascii="Times New Roman" w:hAnsi="Times New Roman"/>
          <w:i/>
          <w:sz w:val="24"/>
          <w:szCs w:val="24"/>
        </w:rPr>
        <w:t>,</w:t>
      </w:r>
      <w:r w:rsidRPr="002B11F9">
        <w:rPr>
          <w:rFonts w:ascii="Times New Roman" w:hAnsi="Times New Roman"/>
          <w:i/>
          <w:iCs/>
          <w:sz w:val="24"/>
          <w:szCs w:val="24"/>
        </w:rPr>
        <w:t xml:space="preserve"> </w:t>
      </w:r>
      <w:proofErr w:type="spellStart"/>
      <w:r w:rsidRPr="002B11F9">
        <w:rPr>
          <w:rFonts w:ascii="Times New Roman" w:hAnsi="Times New Roman"/>
          <w:bCs/>
          <w:i/>
          <w:sz w:val="24"/>
          <w:szCs w:val="24"/>
        </w:rPr>
        <w:t>Demokrazia</w:t>
      </w:r>
      <w:proofErr w:type="spellEnd"/>
      <w:r w:rsidRPr="002B11F9">
        <w:rPr>
          <w:rFonts w:ascii="Times New Roman" w:hAnsi="Times New Roman"/>
          <w:bCs/>
          <w:i/>
          <w:sz w:val="24"/>
          <w:szCs w:val="24"/>
        </w:rPr>
        <w:t xml:space="preserve"> </w:t>
      </w:r>
      <w:proofErr w:type="spellStart"/>
      <w:r w:rsidRPr="002B11F9">
        <w:rPr>
          <w:rFonts w:ascii="Times New Roman" w:hAnsi="Times New Roman"/>
          <w:bCs/>
          <w:i/>
          <w:sz w:val="24"/>
          <w:szCs w:val="24"/>
        </w:rPr>
        <w:t>Hiru</w:t>
      </w:r>
      <w:proofErr w:type="spellEnd"/>
      <w:r w:rsidRPr="002B11F9">
        <w:rPr>
          <w:rFonts w:ascii="Times New Roman" w:hAnsi="Times New Roman"/>
          <w:bCs/>
          <w:i/>
          <w:sz w:val="24"/>
          <w:szCs w:val="24"/>
        </w:rPr>
        <w:t xml:space="preserve"> </w:t>
      </w:r>
      <w:proofErr w:type="spellStart"/>
      <w:r w:rsidRPr="002B11F9">
        <w:rPr>
          <w:rFonts w:ascii="Times New Roman" w:hAnsi="Times New Roman"/>
          <w:bCs/>
          <w:i/>
          <w:sz w:val="24"/>
          <w:szCs w:val="24"/>
        </w:rPr>
        <w:t>Milioi</w:t>
      </w:r>
      <w:proofErr w:type="spellEnd"/>
      <w:r w:rsidRPr="002B11F9">
        <w:rPr>
          <w:rFonts w:ascii="Times New Roman" w:hAnsi="Times New Roman"/>
          <w:bCs/>
          <w:i/>
          <w:sz w:val="24"/>
          <w:szCs w:val="24"/>
        </w:rPr>
        <w:t>)</w:t>
      </w:r>
      <w:r w:rsidRPr="002B11F9">
        <w:rPr>
          <w:rFonts w:ascii="Times New Roman" w:hAnsi="Times New Roman"/>
          <w:sz w:val="24"/>
          <w:szCs w:val="24"/>
          <w:lang w:val="en-US"/>
        </w:rPr>
        <w:t>. In 2009 and 2011 respectively, the Constitutional Court rejected Supreme Court rulings</w:t>
      </w:r>
      <w:r w:rsidRPr="006B1996">
        <w:rPr>
          <w:rFonts w:ascii="Times New Roman" w:hAnsi="Times New Roman"/>
          <w:sz w:val="24"/>
          <w:szCs w:val="24"/>
          <w:lang w:val="en-US"/>
        </w:rPr>
        <w:t xml:space="preserve"> that </w:t>
      </w:r>
      <w:proofErr w:type="spellStart"/>
      <w:r w:rsidRPr="006B1996">
        <w:rPr>
          <w:rFonts w:ascii="Times New Roman" w:hAnsi="Times New Roman"/>
          <w:bCs/>
          <w:i/>
          <w:sz w:val="24"/>
          <w:szCs w:val="24"/>
          <w:lang w:val="en-US"/>
        </w:rPr>
        <w:t>Iniciativa</w:t>
      </w:r>
      <w:proofErr w:type="spellEnd"/>
      <w:r w:rsidRPr="006B1996">
        <w:rPr>
          <w:rFonts w:ascii="Times New Roman" w:hAnsi="Times New Roman"/>
          <w:bCs/>
          <w:i/>
          <w:sz w:val="24"/>
          <w:szCs w:val="24"/>
          <w:lang w:val="en-US"/>
        </w:rPr>
        <w:t xml:space="preserve"> </w:t>
      </w:r>
      <w:proofErr w:type="spellStart"/>
      <w:r w:rsidRPr="006B1996">
        <w:rPr>
          <w:rFonts w:ascii="Times New Roman" w:hAnsi="Times New Roman"/>
          <w:bCs/>
          <w:i/>
          <w:sz w:val="24"/>
          <w:szCs w:val="24"/>
          <w:lang w:val="en-US"/>
        </w:rPr>
        <w:t>Internacionalista</w:t>
      </w:r>
      <w:proofErr w:type="spellEnd"/>
      <w:r w:rsidRPr="006B1996">
        <w:rPr>
          <w:rFonts w:ascii="Times New Roman" w:hAnsi="Times New Roman"/>
          <w:bCs/>
          <w:i/>
          <w:sz w:val="24"/>
          <w:szCs w:val="24"/>
          <w:lang w:val="en-US"/>
        </w:rPr>
        <w:t xml:space="preserve">-La </w:t>
      </w:r>
      <w:proofErr w:type="spellStart"/>
      <w:r w:rsidRPr="006B1996">
        <w:rPr>
          <w:rFonts w:ascii="Times New Roman" w:hAnsi="Times New Roman"/>
          <w:bCs/>
          <w:i/>
          <w:sz w:val="24"/>
          <w:szCs w:val="24"/>
          <w:lang w:val="en-US"/>
        </w:rPr>
        <w:t>Solidaridad</w:t>
      </w:r>
      <w:proofErr w:type="spellEnd"/>
      <w:r w:rsidRPr="006B1996">
        <w:rPr>
          <w:rFonts w:ascii="Times New Roman" w:hAnsi="Times New Roman"/>
          <w:bCs/>
          <w:i/>
          <w:sz w:val="24"/>
          <w:szCs w:val="24"/>
          <w:lang w:val="en-US"/>
        </w:rPr>
        <w:t xml:space="preserve"> Entre los Pueblos </w:t>
      </w:r>
      <w:r w:rsidRPr="006B1996">
        <w:rPr>
          <w:rFonts w:ascii="Times New Roman" w:hAnsi="Times New Roman"/>
          <w:bCs/>
          <w:sz w:val="24"/>
          <w:szCs w:val="24"/>
          <w:lang w:val="en-US"/>
        </w:rPr>
        <w:t>and</w:t>
      </w:r>
      <w:r w:rsidRPr="006B1996">
        <w:rPr>
          <w:rFonts w:ascii="Times New Roman" w:hAnsi="Times New Roman"/>
          <w:bCs/>
          <w:i/>
          <w:sz w:val="24"/>
          <w:szCs w:val="24"/>
          <w:lang w:val="en-US"/>
        </w:rPr>
        <w:t xml:space="preserve"> </w:t>
      </w:r>
      <w:proofErr w:type="spellStart"/>
      <w:r w:rsidRPr="006B1996">
        <w:rPr>
          <w:rFonts w:ascii="Times New Roman" w:hAnsi="Times New Roman"/>
          <w:bCs/>
          <w:i/>
          <w:sz w:val="24"/>
          <w:szCs w:val="24"/>
          <w:lang w:val="en-US"/>
        </w:rPr>
        <w:t>Bildu</w:t>
      </w:r>
      <w:proofErr w:type="spellEnd"/>
      <w:r w:rsidRPr="006B1996">
        <w:rPr>
          <w:rFonts w:ascii="Times New Roman" w:hAnsi="Times New Roman"/>
          <w:bCs/>
          <w:i/>
          <w:sz w:val="24"/>
          <w:szCs w:val="24"/>
          <w:lang w:val="en-US"/>
        </w:rPr>
        <w:t xml:space="preserve"> </w:t>
      </w:r>
      <w:r w:rsidRPr="006B1996">
        <w:rPr>
          <w:rFonts w:ascii="Times New Roman" w:hAnsi="Times New Roman"/>
          <w:bCs/>
          <w:sz w:val="24"/>
          <w:szCs w:val="24"/>
          <w:lang w:val="en-US"/>
        </w:rPr>
        <w:t xml:space="preserve">were instruments of ETA, but </w:t>
      </w:r>
      <w:r>
        <w:rPr>
          <w:rFonts w:ascii="Times New Roman" w:hAnsi="Times New Roman"/>
          <w:bCs/>
          <w:sz w:val="24"/>
          <w:szCs w:val="24"/>
          <w:lang w:val="en-US"/>
        </w:rPr>
        <w:t xml:space="preserve">had previously </w:t>
      </w:r>
      <w:r w:rsidRPr="006B1996">
        <w:rPr>
          <w:rFonts w:ascii="Times New Roman" w:hAnsi="Times New Roman"/>
          <w:sz w:val="24"/>
          <w:szCs w:val="24"/>
          <w:lang w:val="en-US"/>
        </w:rPr>
        <w:t xml:space="preserve">endorsed all other rulings against the mentioned successor parties, coalitions and electoral groupings. </w:t>
      </w:r>
      <w:r>
        <w:rPr>
          <w:rFonts w:ascii="Times New Roman" w:hAnsi="Times New Roman"/>
          <w:sz w:val="24"/>
          <w:szCs w:val="24"/>
          <w:lang w:val="en-US"/>
        </w:rPr>
        <w:t xml:space="preserve">Following ETA’s announced </w:t>
      </w:r>
      <w:r w:rsidRPr="007A74FD">
        <w:rPr>
          <w:rFonts w:ascii="Times New Roman" w:hAnsi="Times New Roman"/>
          <w:sz w:val="24"/>
          <w:szCs w:val="24"/>
          <w:lang w:val="en-US"/>
        </w:rPr>
        <w:t>‘definitive cessation of terrorist activity’ on</w:t>
      </w:r>
      <w:r>
        <w:rPr>
          <w:rFonts w:ascii="Times New Roman" w:hAnsi="Times New Roman"/>
          <w:sz w:val="24"/>
          <w:szCs w:val="24"/>
          <w:lang w:val="en-US"/>
        </w:rPr>
        <w:t xml:space="preserve"> 20 October 2012, the </w:t>
      </w:r>
      <w:proofErr w:type="spellStart"/>
      <w:r>
        <w:rPr>
          <w:rFonts w:ascii="Times New Roman" w:hAnsi="Times New Roman"/>
          <w:sz w:val="24"/>
          <w:szCs w:val="24"/>
          <w:lang w:val="en-US"/>
        </w:rPr>
        <w:t>Constitutioanl</w:t>
      </w:r>
      <w:proofErr w:type="spellEnd"/>
      <w:r>
        <w:rPr>
          <w:rFonts w:ascii="Times New Roman" w:hAnsi="Times New Roman"/>
          <w:sz w:val="24"/>
          <w:szCs w:val="24"/>
          <w:lang w:val="en-US"/>
        </w:rPr>
        <w:t xml:space="preserve"> Court legalized </w:t>
      </w:r>
      <w:proofErr w:type="spellStart"/>
      <w:r>
        <w:rPr>
          <w:rFonts w:ascii="Times New Roman" w:hAnsi="Times New Roman"/>
          <w:sz w:val="24"/>
          <w:szCs w:val="24"/>
          <w:lang w:val="en-US"/>
        </w:rPr>
        <w:t>Sortu</w:t>
      </w:r>
      <w:proofErr w:type="spellEnd"/>
      <w:r>
        <w:rPr>
          <w:rFonts w:ascii="Times New Roman" w:hAnsi="Times New Roman"/>
          <w:sz w:val="24"/>
          <w:szCs w:val="24"/>
          <w:lang w:val="en-US"/>
        </w:rPr>
        <w:t>.</w:t>
      </w:r>
    </w:p>
    <w:p w:rsidR="0021746F" w:rsidRDefault="0021746F" w:rsidP="00FD14D9">
      <w:pPr>
        <w:spacing w:before="100" w:beforeAutospacing="1" w:after="100" w:afterAutospacing="1" w:line="360" w:lineRule="auto"/>
        <w:jc w:val="both"/>
        <w:rPr>
          <w:rFonts w:ascii="Times New Roman" w:hAnsi="Times New Roman"/>
          <w:sz w:val="24"/>
          <w:szCs w:val="24"/>
          <w:lang w:val="en-US"/>
        </w:rPr>
      </w:pPr>
      <w:r>
        <w:rPr>
          <w:rFonts w:ascii="Times New Roman" w:hAnsi="Times New Roman"/>
          <w:sz w:val="24"/>
          <w:szCs w:val="24"/>
        </w:rPr>
        <w:t xml:space="preserve"> The immediate political context for proscription was the end of a 14 month ceasefire during 1998-9, during which of meetings between ETA and </w:t>
      </w:r>
      <w:r w:rsidRPr="007A74FD">
        <w:rPr>
          <w:rFonts w:ascii="Times New Roman" w:hAnsi="Times New Roman"/>
          <w:sz w:val="24"/>
          <w:szCs w:val="24"/>
        </w:rPr>
        <w:t xml:space="preserve">government representatives </w:t>
      </w:r>
      <w:r>
        <w:rPr>
          <w:rFonts w:ascii="Times New Roman" w:hAnsi="Times New Roman"/>
          <w:sz w:val="24"/>
          <w:szCs w:val="24"/>
        </w:rPr>
        <w:t>leading to the ‘Zurich conversations’ were held</w:t>
      </w:r>
      <w:r>
        <w:rPr>
          <w:rFonts w:ascii="Times New Roman" w:hAnsi="Times New Roman"/>
          <w:sz w:val="24"/>
          <w:szCs w:val="24"/>
          <w:lang w:val="en-US"/>
        </w:rPr>
        <w:t xml:space="preserve"> </w:t>
      </w:r>
      <w:r w:rsidRPr="006B1996">
        <w:rPr>
          <w:rFonts w:ascii="Times New Roman" w:hAnsi="Times New Roman"/>
          <w:sz w:val="24"/>
          <w:szCs w:val="24"/>
          <w:lang w:val="en-US"/>
        </w:rPr>
        <w:t>(</w:t>
      </w:r>
      <w:proofErr w:type="spellStart"/>
      <w:r w:rsidRPr="006B1996">
        <w:rPr>
          <w:rFonts w:ascii="Times New Roman" w:hAnsi="Times New Roman"/>
          <w:sz w:val="24"/>
          <w:szCs w:val="24"/>
          <w:lang w:val="en-US"/>
        </w:rPr>
        <w:t>Bew</w:t>
      </w:r>
      <w:proofErr w:type="spellEnd"/>
      <w:r w:rsidRPr="006B1996">
        <w:rPr>
          <w:rFonts w:ascii="Times New Roman" w:hAnsi="Times New Roman"/>
          <w:sz w:val="24"/>
          <w:szCs w:val="24"/>
          <w:lang w:val="en-US"/>
        </w:rPr>
        <w:t xml:space="preserve"> </w:t>
      </w:r>
      <w:r w:rsidRPr="006B1996">
        <w:rPr>
          <w:rFonts w:ascii="Times New Roman" w:hAnsi="Times New Roman"/>
          <w:i/>
          <w:sz w:val="24"/>
          <w:szCs w:val="24"/>
          <w:lang w:val="en-US"/>
        </w:rPr>
        <w:t>et al,</w:t>
      </w:r>
      <w:r w:rsidRPr="006B1996">
        <w:rPr>
          <w:rFonts w:ascii="Times New Roman" w:hAnsi="Times New Roman"/>
          <w:sz w:val="24"/>
          <w:szCs w:val="24"/>
          <w:lang w:val="en-US"/>
        </w:rPr>
        <w:t xml:space="preserve"> 2009: 206-237; Dominguez</w:t>
      </w:r>
      <w:r>
        <w:rPr>
          <w:rFonts w:ascii="Times New Roman" w:hAnsi="Times New Roman"/>
          <w:sz w:val="24"/>
          <w:szCs w:val="24"/>
          <w:lang w:val="en-US"/>
        </w:rPr>
        <w:t>,</w:t>
      </w:r>
      <w:r w:rsidRPr="006B1996">
        <w:rPr>
          <w:rFonts w:ascii="Times New Roman" w:hAnsi="Times New Roman"/>
          <w:sz w:val="24"/>
          <w:szCs w:val="24"/>
          <w:lang w:val="en-US"/>
        </w:rPr>
        <w:t xml:space="preserve"> 2006). </w:t>
      </w:r>
      <w:r>
        <w:rPr>
          <w:rFonts w:ascii="Times New Roman" w:hAnsi="Times New Roman"/>
          <w:sz w:val="24"/>
          <w:szCs w:val="24"/>
        </w:rPr>
        <w:t xml:space="preserve">The 1998-9 ceasefire was followed by an escalation of violent attacks leading </w:t>
      </w:r>
      <w:r w:rsidRPr="008639E9">
        <w:rPr>
          <w:rFonts w:ascii="Times New Roman" w:hAnsi="Times New Roman"/>
          <w:sz w:val="24"/>
          <w:szCs w:val="24"/>
        </w:rPr>
        <w:t>to some 23 deaths in 2000 and 15 deaths in 2001</w:t>
      </w:r>
      <w:r>
        <w:rPr>
          <w:rFonts w:ascii="Times New Roman" w:hAnsi="Times New Roman"/>
          <w:sz w:val="24"/>
          <w:szCs w:val="24"/>
        </w:rPr>
        <w:t xml:space="preserve"> (</w:t>
      </w:r>
      <w:proofErr w:type="spellStart"/>
      <w:r>
        <w:rPr>
          <w:rFonts w:ascii="Times New Roman" w:hAnsi="Times New Roman"/>
          <w:sz w:val="24"/>
          <w:szCs w:val="24"/>
        </w:rPr>
        <w:t>Domínguez</w:t>
      </w:r>
      <w:proofErr w:type="spellEnd"/>
      <w:r>
        <w:rPr>
          <w:rFonts w:ascii="Times New Roman" w:hAnsi="Times New Roman"/>
          <w:sz w:val="24"/>
          <w:szCs w:val="24"/>
        </w:rPr>
        <w:t>, 2012, 66-7). It was also a period which witnessed important changes in ETA’s tactics and Basque civil society.</w:t>
      </w:r>
      <w:r w:rsidRPr="006B1996">
        <w:rPr>
          <w:rFonts w:ascii="Times New Roman" w:hAnsi="Times New Roman"/>
          <w:sz w:val="24"/>
          <w:szCs w:val="24"/>
          <w:lang w:val="en-US"/>
        </w:rPr>
        <w:t xml:space="preserve"> </w:t>
      </w:r>
      <w:r>
        <w:rPr>
          <w:rFonts w:ascii="Times New Roman" w:hAnsi="Times New Roman"/>
          <w:sz w:val="24"/>
          <w:szCs w:val="24"/>
          <w:lang w:val="en-US"/>
        </w:rPr>
        <w:t xml:space="preserve">These included the </w:t>
      </w:r>
      <w:r w:rsidRPr="005A6F70">
        <w:rPr>
          <w:rFonts w:ascii="Times New Roman" w:hAnsi="Times New Roman"/>
          <w:sz w:val="24"/>
          <w:szCs w:val="24"/>
          <w:lang w:val="en-US"/>
        </w:rPr>
        <w:t>intensification of street violence</w:t>
      </w:r>
      <w:r>
        <w:rPr>
          <w:rFonts w:ascii="Times New Roman" w:hAnsi="Times New Roman"/>
          <w:sz w:val="24"/>
          <w:szCs w:val="24"/>
          <w:lang w:val="en-US"/>
        </w:rPr>
        <w:t xml:space="preserve"> by radical Basque nationalist youths linked to ETA and </w:t>
      </w:r>
      <w:r w:rsidRPr="005A6F70">
        <w:rPr>
          <w:rFonts w:ascii="Times New Roman" w:hAnsi="Times New Roman"/>
          <w:sz w:val="24"/>
          <w:szCs w:val="24"/>
          <w:lang w:val="en-US"/>
        </w:rPr>
        <w:t>an expansion of the range of ETA targets</w:t>
      </w:r>
      <w:r>
        <w:rPr>
          <w:rFonts w:ascii="Times New Roman" w:hAnsi="Times New Roman"/>
          <w:sz w:val="24"/>
          <w:szCs w:val="24"/>
          <w:lang w:val="en-US"/>
        </w:rPr>
        <w:t xml:space="preserve"> to include mainstream party politicians, journalists, and judges. The </w:t>
      </w:r>
      <w:r w:rsidRPr="005A6F70">
        <w:rPr>
          <w:rFonts w:ascii="Times New Roman" w:hAnsi="Times New Roman"/>
          <w:sz w:val="24"/>
          <w:szCs w:val="24"/>
          <w:lang w:val="en-US"/>
        </w:rPr>
        <w:t xml:space="preserve">kidnapping and assassination of Popular Party councilor, </w:t>
      </w:r>
      <w:r w:rsidRPr="005A6F70">
        <w:rPr>
          <w:rFonts w:ascii="Times New Roman" w:hAnsi="Times New Roman"/>
          <w:bCs/>
          <w:sz w:val="24"/>
          <w:szCs w:val="24"/>
        </w:rPr>
        <w:t xml:space="preserve">Miguel </w:t>
      </w:r>
      <w:proofErr w:type="spellStart"/>
      <w:r w:rsidRPr="005A6F70">
        <w:rPr>
          <w:rFonts w:ascii="Times New Roman" w:hAnsi="Times New Roman"/>
          <w:bCs/>
          <w:sz w:val="24"/>
          <w:szCs w:val="24"/>
        </w:rPr>
        <w:t>Ángel</w:t>
      </w:r>
      <w:proofErr w:type="spellEnd"/>
      <w:r w:rsidRPr="005A6F70">
        <w:rPr>
          <w:rFonts w:ascii="Times New Roman" w:hAnsi="Times New Roman"/>
          <w:bCs/>
          <w:sz w:val="24"/>
          <w:szCs w:val="24"/>
        </w:rPr>
        <w:t xml:space="preserve"> Blanco, </w:t>
      </w:r>
      <w:r>
        <w:rPr>
          <w:rFonts w:ascii="Times New Roman" w:hAnsi="Times New Roman"/>
          <w:bCs/>
          <w:sz w:val="24"/>
          <w:szCs w:val="24"/>
        </w:rPr>
        <w:t xml:space="preserve">provided a context in which </w:t>
      </w:r>
      <w:r w:rsidRPr="005A6F70">
        <w:rPr>
          <w:rFonts w:ascii="Times New Roman" w:hAnsi="Times New Roman"/>
          <w:bCs/>
          <w:sz w:val="24"/>
          <w:szCs w:val="24"/>
        </w:rPr>
        <w:t>millions in the Basque Country and beyond mobilised against ETA</w:t>
      </w:r>
      <w:r>
        <w:rPr>
          <w:rFonts w:ascii="Times New Roman" w:hAnsi="Times New Roman"/>
          <w:bCs/>
          <w:sz w:val="24"/>
          <w:szCs w:val="24"/>
        </w:rPr>
        <w:t xml:space="preserve"> in street demonstrations. Among other things, these developments helped </w:t>
      </w:r>
      <w:r w:rsidRPr="005A6F70">
        <w:rPr>
          <w:rFonts w:ascii="Times New Roman" w:hAnsi="Times New Roman"/>
          <w:bCs/>
          <w:sz w:val="24"/>
          <w:szCs w:val="24"/>
        </w:rPr>
        <w:t>bolster a Basque peace movement and prompted closer cooperation between mainstream parties on inter</w:t>
      </w:r>
      <w:r>
        <w:rPr>
          <w:rFonts w:ascii="Times New Roman" w:hAnsi="Times New Roman"/>
          <w:bCs/>
          <w:sz w:val="24"/>
          <w:szCs w:val="24"/>
        </w:rPr>
        <w:t>nal security policy (</w:t>
      </w:r>
      <w:proofErr w:type="spellStart"/>
      <w:r>
        <w:rPr>
          <w:rFonts w:ascii="Times New Roman" w:hAnsi="Times New Roman"/>
          <w:bCs/>
          <w:sz w:val="24"/>
          <w:szCs w:val="24"/>
        </w:rPr>
        <w:t>Muro</w:t>
      </w:r>
      <w:proofErr w:type="spellEnd"/>
      <w:r>
        <w:rPr>
          <w:rFonts w:ascii="Times New Roman" w:hAnsi="Times New Roman"/>
          <w:bCs/>
          <w:sz w:val="24"/>
          <w:szCs w:val="24"/>
        </w:rPr>
        <w:t>, 2008:</w:t>
      </w:r>
      <w:r w:rsidRPr="005A6F70">
        <w:rPr>
          <w:rFonts w:ascii="Times New Roman" w:hAnsi="Times New Roman"/>
          <w:bCs/>
          <w:sz w:val="24"/>
          <w:szCs w:val="24"/>
        </w:rPr>
        <w:t xml:space="preserve"> 155-7). With the support of the </w:t>
      </w:r>
      <w:r>
        <w:rPr>
          <w:rFonts w:ascii="Times New Roman" w:hAnsi="Times New Roman"/>
          <w:bCs/>
          <w:sz w:val="24"/>
          <w:szCs w:val="24"/>
        </w:rPr>
        <w:t xml:space="preserve">then </w:t>
      </w:r>
      <w:r w:rsidRPr="005A6F70">
        <w:rPr>
          <w:rFonts w:ascii="Times New Roman" w:hAnsi="Times New Roman"/>
          <w:bCs/>
          <w:sz w:val="24"/>
          <w:szCs w:val="24"/>
        </w:rPr>
        <w:t xml:space="preserve">opposition </w:t>
      </w:r>
      <w:proofErr w:type="spellStart"/>
      <w:r w:rsidRPr="005A6F70">
        <w:rPr>
          <w:rFonts w:ascii="Times New Roman" w:hAnsi="Times New Roman"/>
          <w:bCs/>
          <w:i/>
          <w:sz w:val="24"/>
          <w:szCs w:val="24"/>
        </w:rPr>
        <w:t>Partido</w:t>
      </w:r>
      <w:proofErr w:type="spellEnd"/>
      <w:r w:rsidRPr="005A6F70">
        <w:rPr>
          <w:rFonts w:ascii="Times New Roman" w:hAnsi="Times New Roman"/>
          <w:bCs/>
          <w:i/>
          <w:sz w:val="24"/>
          <w:szCs w:val="24"/>
        </w:rPr>
        <w:t xml:space="preserve"> </w:t>
      </w:r>
      <w:proofErr w:type="spellStart"/>
      <w:r w:rsidRPr="005A6F70">
        <w:rPr>
          <w:rFonts w:ascii="Times New Roman" w:hAnsi="Times New Roman"/>
          <w:bCs/>
          <w:i/>
          <w:sz w:val="24"/>
          <w:szCs w:val="24"/>
        </w:rPr>
        <w:t>Socialista</w:t>
      </w:r>
      <w:proofErr w:type="spellEnd"/>
      <w:r w:rsidRPr="005A6F70">
        <w:rPr>
          <w:rFonts w:ascii="Times New Roman" w:hAnsi="Times New Roman"/>
          <w:bCs/>
          <w:i/>
          <w:sz w:val="24"/>
          <w:szCs w:val="24"/>
        </w:rPr>
        <w:t xml:space="preserve"> </w:t>
      </w:r>
      <w:proofErr w:type="spellStart"/>
      <w:r w:rsidRPr="005A6F70">
        <w:rPr>
          <w:rFonts w:ascii="Times New Roman" w:hAnsi="Times New Roman"/>
          <w:bCs/>
          <w:i/>
          <w:sz w:val="24"/>
          <w:szCs w:val="24"/>
        </w:rPr>
        <w:t>Obrero</w:t>
      </w:r>
      <w:proofErr w:type="spellEnd"/>
      <w:r w:rsidRPr="005A6F70">
        <w:rPr>
          <w:rFonts w:ascii="Times New Roman" w:hAnsi="Times New Roman"/>
          <w:bCs/>
          <w:i/>
          <w:sz w:val="24"/>
          <w:szCs w:val="24"/>
        </w:rPr>
        <w:t xml:space="preserve"> </w:t>
      </w:r>
      <w:proofErr w:type="spellStart"/>
      <w:r w:rsidRPr="005A6F70">
        <w:rPr>
          <w:rFonts w:ascii="Times New Roman" w:hAnsi="Times New Roman"/>
          <w:bCs/>
          <w:i/>
          <w:sz w:val="24"/>
          <w:szCs w:val="24"/>
        </w:rPr>
        <w:t>Español</w:t>
      </w:r>
      <w:proofErr w:type="spellEnd"/>
      <w:r w:rsidRPr="005A6F70">
        <w:rPr>
          <w:rFonts w:ascii="Times New Roman" w:hAnsi="Times New Roman"/>
          <w:bCs/>
          <w:sz w:val="24"/>
          <w:szCs w:val="24"/>
        </w:rPr>
        <w:t xml:space="preserve"> (PSOE, Spanish Socialist Workers Party), the </w:t>
      </w:r>
      <w:proofErr w:type="spellStart"/>
      <w:r w:rsidRPr="005A6F70">
        <w:rPr>
          <w:rFonts w:ascii="Times New Roman" w:hAnsi="Times New Roman"/>
          <w:bCs/>
          <w:i/>
          <w:sz w:val="24"/>
          <w:szCs w:val="24"/>
        </w:rPr>
        <w:t>Partido</w:t>
      </w:r>
      <w:proofErr w:type="spellEnd"/>
      <w:r w:rsidRPr="005A6F70">
        <w:rPr>
          <w:rFonts w:ascii="Times New Roman" w:hAnsi="Times New Roman"/>
          <w:bCs/>
          <w:i/>
          <w:sz w:val="24"/>
          <w:szCs w:val="24"/>
        </w:rPr>
        <w:t xml:space="preserve"> Popular</w:t>
      </w:r>
      <w:r w:rsidRPr="005A6F70">
        <w:rPr>
          <w:rFonts w:ascii="Times New Roman" w:hAnsi="Times New Roman"/>
          <w:bCs/>
          <w:sz w:val="24"/>
          <w:szCs w:val="24"/>
        </w:rPr>
        <w:t xml:space="preserve"> (PP, Popular Party) government of José </w:t>
      </w:r>
      <w:proofErr w:type="spellStart"/>
      <w:r w:rsidRPr="005A6F70">
        <w:rPr>
          <w:rFonts w:ascii="Times New Roman" w:hAnsi="Times New Roman"/>
          <w:bCs/>
          <w:sz w:val="24"/>
          <w:szCs w:val="24"/>
        </w:rPr>
        <w:t>María</w:t>
      </w:r>
      <w:proofErr w:type="spellEnd"/>
      <w:r w:rsidRPr="005A6F70">
        <w:rPr>
          <w:rFonts w:ascii="Times New Roman" w:hAnsi="Times New Roman"/>
          <w:bCs/>
          <w:sz w:val="24"/>
          <w:szCs w:val="24"/>
        </w:rPr>
        <w:t xml:space="preserve"> Aznar took a tougher line on ETA and its supporters, culminating in the 2000 Agreement for Liberties and Against Terrorism, and ultimately the </w:t>
      </w:r>
      <w:r>
        <w:rPr>
          <w:rFonts w:ascii="Times New Roman" w:hAnsi="Times New Roman"/>
          <w:bCs/>
          <w:sz w:val="24"/>
          <w:szCs w:val="24"/>
        </w:rPr>
        <w:t>2002 Party Law</w:t>
      </w:r>
      <w:r w:rsidRPr="005A6F70">
        <w:rPr>
          <w:rFonts w:ascii="Times New Roman" w:hAnsi="Times New Roman"/>
          <w:bCs/>
          <w:sz w:val="24"/>
          <w:szCs w:val="24"/>
        </w:rPr>
        <w:t xml:space="preserve">. Furthermore, the emergence of a short-lived Basque </w:t>
      </w:r>
      <w:r>
        <w:rPr>
          <w:rFonts w:ascii="Times New Roman" w:hAnsi="Times New Roman"/>
          <w:bCs/>
          <w:sz w:val="24"/>
          <w:szCs w:val="24"/>
        </w:rPr>
        <w:t>‘</w:t>
      </w:r>
      <w:r w:rsidRPr="005A6F70">
        <w:rPr>
          <w:rFonts w:ascii="Times New Roman" w:hAnsi="Times New Roman"/>
          <w:bCs/>
          <w:sz w:val="24"/>
          <w:szCs w:val="24"/>
        </w:rPr>
        <w:t>nationalist front</w:t>
      </w:r>
      <w:r>
        <w:rPr>
          <w:rFonts w:ascii="Times New Roman" w:hAnsi="Times New Roman"/>
          <w:bCs/>
          <w:sz w:val="24"/>
          <w:szCs w:val="24"/>
        </w:rPr>
        <w:t>’</w:t>
      </w:r>
      <w:r w:rsidRPr="005A6F70">
        <w:rPr>
          <w:rFonts w:ascii="Times New Roman" w:hAnsi="Times New Roman"/>
          <w:bCs/>
          <w:sz w:val="24"/>
          <w:szCs w:val="24"/>
        </w:rPr>
        <w:t xml:space="preserve"> involving both radicals and moderates following the 1998 </w:t>
      </w:r>
      <w:proofErr w:type="spellStart"/>
      <w:r w:rsidRPr="005A6F70">
        <w:rPr>
          <w:rFonts w:ascii="Times New Roman" w:hAnsi="Times New Roman"/>
          <w:bCs/>
          <w:sz w:val="24"/>
          <w:szCs w:val="24"/>
        </w:rPr>
        <w:t>Lizarra</w:t>
      </w:r>
      <w:proofErr w:type="spellEnd"/>
      <w:r w:rsidRPr="005A6F70">
        <w:rPr>
          <w:rFonts w:ascii="Times New Roman" w:hAnsi="Times New Roman"/>
          <w:bCs/>
          <w:sz w:val="24"/>
          <w:szCs w:val="24"/>
        </w:rPr>
        <w:t xml:space="preserve"> Agreement </w:t>
      </w:r>
      <w:r>
        <w:rPr>
          <w:rFonts w:ascii="Times New Roman" w:hAnsi="Times New Roman"/>
          <w:bCs/>
          <w:sz w:val="24"/>
          <w:szCs w:val="24"/>
        </w:rPr>
        <w:t xml:space="preserve">(see below) </w:t>
      </w:r>
      <w:r w:rsidRPr="005A6F70">
        <w:rPr>
          <w:rFonts w:ascii="Times New Roman" w:hAnsi="Times New Roman"/>
          <w:bCs/>
          <w:sz w:val="24"/>
          <w:szCs w:val="24"/>
        </w:rPr>
        <w:t>produced a temporary ETA ceasefire but deepened political polarization between Basque nationalists and those in favour of maintaining the constitutional status quo (</w:t>
      </w:r>
      <w:proofErr w:type="spellStart"/>
      <w:r w:rsidRPr="005A6F70">
        <w:rPr>
          <w:rFonts w:ascii="Times New Roman" w:hAnsi="Times New Roman"/>
          <w:bCs/>
          <w:sz w:val="24"/>
          <w:szCs w:val="24"/>
        </w:rPr>
        <w:t>Domínguez</w:t>
      </w:r>
      <w:proofErr w:type="spellEnd"/>
      <w:r w:rsidRPr="005A6F70">
        <w:rPr>
          <w:rFonts w:ascii="Times New Roman" w:hAnsi="Times New Roman"/>
          <w:bCs/>
          <w:sz w:val="24"/>
          <w:szCs w:val="24"/>
        </w:rPr>
        <w:t xml:space="preserve">, 2006: 410-11; </w:t>
      </w:r>
      <w:proofErr w:type="spellStart"/>
      <w:r w:rsidRPr="005A6F70">
        <w:rPr>
          <w:rFonts w:ascii="Times New Roman" w:hAnsi="Times New Roman"/>
          <w:bCs/>
          <w:sz w:val="24"/>
          <w:szCs w:val="24"/>
        </w:rPr>
        <w:t>Mees</w:t>
      </w:r>
      <w:proofErr w:type="spellEnd"/>
      <w:r w:rsidRPr="005A6F70">
        <w:rPr>
          <w:rFonts w:ascii="Times New Roman" w:hAnsi="Times New Roman"/>
          <w:bCs/>
          <w:sz w:val="24"/>
          <w:szCs w:val="24"/>
        </w:rPr>
        <w:t xml:space="preserve">, 2003: 107-128). According to Blanco, the </w:t>
      </w:r>
      <w:proofErr w:type="spellStart"/>
      <w:r w:rsidRPr="005A6F70">
        <w:rPr>
          <w:rFonts w:ascii="Times New Roman" w:hAnsi="Times New Roman"/>
          <w:bCs/>
          <w:sz w:val="24"/>
          <w:szCs w:val="24"/>
        </w:rPr>
        <w:t>Lizarra</w:t>
      </w:r>
      <w:proofErr w:type="spellEnd"/>
      <w:r w:rsidRPr="005A6F70">
        <w:rPr>
          <w:rFonts w:ascii="Times New Roman" w:hAnsi="Times New Roman"/>
          <w:bCs/>
          <w:sz w:val="24"/>
          <w:szCs w:val="24"/>
        </w:rPr>
        <w:t xml:space="preserve"> process convinced </w:t>
      </w:r>
      <w:r>
        <w:rPr>
          <w:rFonts w:ascii="Times New Roman" w:hAnsi="Times New Roman"/>
          <w:bCs/>
          <w:sz w:val="24"/>
          <w:szCs w:val="24"/>
        </w:rPr>
        <w:t xml:space="preserve">the </w:t>
      </w:r>
      <w:r w:rsidRPr="005A6F70">
        <w:rPr>
          <w:rFonts w:ascii="Times New Roman" w:hAnsi="Times New Roman"/>
          <w:bCs/>
          <w:sz w:val="24"/>
          <w:szCs w:val="24"/>
        </w:rPr>
        <w:t xml:space="preserve">Spanish </w:t>
      </w:r>
      <w:r w:rsidRPr="005A6F70">
        <w:rPr>
          <w:rFonts w:ascii="Times New Roman" w:hAnsi="Times New Roman"/>
          <w:bCs/>
          <w:sz w:val="24"/>
          <w:szCs w:val="24"/>
        </w:rPr>
        <w:lastRenderedPageBreak/>
        <w:t>political elite that it was no longer realistic to hope for integration of extremists through the electoral process (2004: 48).</w:t>
      </w:r>
      <w:r w:rsidRPr="00382014">
        <w:rPr>
          <w:rFonts w:ascii="Times New Roman" w:hAnsi="Times New Roman"/>
          <w:sz w:val="24"/>
          <w:szCs w:val="24"/>
          <w:lang w:val="en-US"/>
        </w:rPr>
        <w:t xml:space="preserve"> </w:t>
      </w:r>
    </w:p>
    <w:p w:rsidR="0021746F" w:rsidRPr="001120E1" w:rsidRDefault="0021746F" w:rsidP="00FD14D9">
      <w:pPr>
        <w:spacing w:before="100" w:beforeAutospacing="1" w:after="100" w:afterAutospacing="1" w:line="360" w:lineRule="auto"/>
        <w:jc w:val="both"/>
        <w:rPr>
          <w:rFonts w:ascii="Times New Roman" w:hAnsi="Times New Roman"/>
          <w:sz w:val="24"/>
          <w:szCs w:val="24"/>
        </w:rPr>
      </w:pPr>
      <w:r>
        <w:rPr>
          <w:rFonts w:ascii="Times New Roman" w:hAnsi="Times New Roman"/>
          <w:sz w:val="24"/>
          <w:szCs w:val="24"/>
          <w:lang w:val="en-US"/>
        </w:rPr>
        <w:t xml:space="preserve">Proscription of HB, EH and </w:t>
      </w:r>
      <w:proofErr w:type="spellStart"/>
      <w:r>
        <w:rPr>
          <w:rFonts w:ascii="Times New Roman" w:hAnsi="Times New Roman"/>
          <w:sz w:val="24"/>
          <w:szCs w:val="24"/>
          <w:lang w:val="en-US"/>
        </w:rPr>
        <w:t>Batasuna</w:t>
      </w:r>
      <w:proofErr w:type="spellEnd"/>
      <w:r>
        <w:rPr>
          <w:rFonts w:ascii="Times New Roman" w:hAnsi="Times New Roman"/>
          <w:sz w:val="24"/>
          <w:szCs w:val="24"/>
          <w:lang w:val="en-US"/>
        </w:rPr>
        <w:t xml:space="preserve"> also coincided with the </w:t>
      </w:r>
      <w:r w:rsidRPr="006B1996">
        <w:rPr>
          <w:rFonts w:ascii="Times New Roman" w:hAnsi="Times New Roman"/>
          <w:sz w:val="24"/>
          <w:szCs w:val="24"/>
          <w:lang w:val="en-US"/>
        </w:rPr>
        <w:t xml:space="preserve">closure of the radical Basque nationalist daily newspaper </w:t>
      </w:r>
      <w:proofErr w:type="spellStart"/>
      <w:r w:rsidRPr="006B1996">
        <w:rPr>
          <w:rFonts w:ascii="Times New Roman" w:hAnsi="Times New Roman"/>
          <w:i/>
          <w:sz w:val="24"/>
          <w:szCs w:val="24"/>
          <w:lang w:val="en-US"/>
        </w:rPr>
        <w:t>Egin</w:t>
      </w:r>
      <w:proofErr w:type="spellEnd"/>
      <w:r w:rsidRPr="006B1996">
        <w:rPr>
          <w:rFonts w:ascii="Times New Roman" w:hAnsi="Times New Roman"/>
          <w:i/>
          <w:sz w:val="24"/>
          <w:szCs w:val="24"/>
          <w:lang w:val="en-US"/>
        </w:rPr>
        <w:t xml:space="preserve"> </w:t>
      </w:r>
      <w:r w:rsidRPr="006B1996">
        <w:rPr>
          <w:rFonts w:ascii="Times New Roman" w:hAnsi="Times New Roman"/>
          <w:sz w:val="24"/>
          <w:szCs w:val="24"/>
          <w:lang w:val="en-US"/>
        </w:rPr>
        <w:t xml:space="preserve">and radio station </w:t>
      </w:r>
      <w:proofErr w:type="spellStart"/>
      <w:r w:rsidRPr="006B1996">
        <w:rPr>
          <w:rFonts w:ascii="Times New Roman" w:hAnsi="Times New Roman"/>
          <w:i/>
          <w:sz w:val="24"/>
          <w:szCs w:val="24"/>
          <w:lang w:val="en-US"/>
        </w:rPr>
        <w:t>Egin</w:t>
      </w:r>
      <w:proofErr w:type="spellEnd"/>
      <w:r w:rsidRPr="006B1996">
        <w:rPr>
          <w:rFonts w:ascii="Times New Roman" w:hAnsi="Times New Roman"/>
          <w:i/>
          <w:sz w:val="24"/>
          <w:szCs w:val="24"/>
          <w:lang w:val="en-US"/>
        </w:rPr>
        <w:t xml:space="preserve"> </w:t>
      </w:r>
      <w:proofErr w:type="spellStart"/>
      <w:r w:rsidRPr="006B1996">
        <w:rPr>
          <w:rFonts w:ascii="Times New Roman" w:hAnsi="Times New Roman"/>
          <w:i/>
          <w:sz w:val="24"/>
          <w:szCs w:val="24"/>
          <w:lang w:val="en-US"/>
        </w:rPr>
        <w:t>Irratia</w:t>
      </w:r>
      <w:proofErr w:type="spellEnd"/>
      <w:r w:rsidRPr="006B1996">
        <w:rPr>
          <w:rFonts w:ascii="Times New Roman" w:hAnsi="Times New Roman"/>
          <w:sz w:val="24"/>
          <w:szCs w:val="24"/>
          <w:lang w:val="en-US"/>
        </w:rPr>
        <w:t xml:space="preserve"> in 1998</w:t>
      </w:r>
      <w:r>
        <w:rPr>
          <w:rFonts w:ascii="Times New Roman" w:hAnsi="Times New Roman"/>
          <w:sz w:val="24"/>
          <w:szCs w:val="24"/>
          <w:lang w:val="en-US"/>
        </w:rPr>
        <w:t xml:space="preserve">, and </w:t>
      </w:r>
      <w:r w:rsidRPr="006B1996">
        <w:rPr>
          <w:rFonts w:ascii="Times New Roman" w:hAnsi="Times New Roman"/>
          <w:sz w:val="24"/>
          <w:szCs w:val="24"/>
          <w:lang w:val="en-US"/>
        </w:rPr>
        <w:t xml:space="preserve">illegalization of the youth groups, </w:t>
      </w:r>
      <w:proofErr w:type="spellStart"/>
      <w:r w:rsidRPr="006B1996">
        <w:rPr>
          <w:rFonts w:ascii="Times New Roman" w:hAnsi="Times New Roman"/>
          <w:i/>
          <w:sz w:val="24"/>
          <w:szCs w:val="24"/>
          <w:lang w:val="en-US"/>
        </w:rPr>
        <w:t>Jarrai</w:t>
      </w:r>
      <w:proofErr w:type="spellEnd"/>
      <w:r w:rsidRPr="006B1996">
        <w:rPr>
          <w:rFonts w:ascii="Times New Roman" w:hAnsi="Times New Roman"/>
          <w:i/>
          <w:sz w:val="24"/>
          <w:szCs w:val="24"/>
          <w:lang w:val="en-US"/>
        </w:rPr>
        <w:t>/</w:t>
      </w:r>
      <w:proofErr w:type="spellStart"/>
      <w:r w:rsidRPr="006B1996">
        <w:rPr>
          <w:rFonts w:ascii="Times New Roman" w:hAnsi="Times New Roman"/>
          <w:i/>
          <w:sz w:val="24"/>
          <w:szCs w:val="24"/>
          <w:lang w:val="en-US"/>
        </w:rPr>
        <w:t>Haika</w:t>
      </w:r>
      <w:proofErr w:type="spellEnd"/>
      <w:r w:rsidRPr="006B1996">
        <w:rPr>
          <w:rFonts w:ascii="Times New Roman" w:hAnsi="Times New Roman"/>
          <w:i/>
          <w:sz w:val="24"/>
          <w:szCs w:val="24"/>
          <w:lang w:val="en-US"/>
        </w:rPr>
        <w:t xml:space="preserve"> and </w:t>
      </w:r>
      <w:proofErr w:type="spellStart"/>
      <w:r w:rsidRPr="006B1996">
        <w:rPr>
          <w:rFonts w:ascii="Times New Roman" w:hAnsi="Times New Roman"/>
          <w:i/>
          <w:sz w:val="24"/>
          <w:szCs w:val="24"/>
          <w:lang w:val="en-US"/>
        </w:rPr>
        <w:t>Segi</w:t>
      </w:r>
      <w:proofErr w:type="spellEnd"/>
      <w:r>
        <w:rPr>
          <w:rFonts w:ascii="Times New Roman" w:hAnsi="Times New Roman"/>
          <w:i/>
          <w:sz w:val="24"/>
          <w:szCs w:val="24"/>
          <w:lang w:val="en-US"/>
        </w:rPr>
        <w:t>,</w:t>
      </w:r>
      <w:r w:rsidRPr="006B1996">
        <w:rPr>
          <w:rFonts w:ascii="Times New Roman" w:hAnsi="Times New Roman"/>
          <w:sz w:val="24"/>
          <w:szCs w:val="24"/>
          <w:lang w:val="en-US"/>
        </w:rPr>
        <w:t xml:space="preserve"> for integration in ETA in 2005. The coordinating body, </w:t>
      </w:r>
      <w:proofErr w:type="spellStart"/>
      <w:r w:rsidRPr="003A3262">
        <w:rPr>
          <w:rFonts w:ascii="Times New Roman" w:hAnsi="Times New Roman"/>
          <w:bCs/>
          <w:i/>
          <w:sz w:val="24"/>
          <w:szCs w:val="24"/>
        </w:rPr>
        <w:t>Koordinadora</w:t>
      </w:r>
      <w:proofErr w:type="spellEnd"/>
      <w:r w:rsidRPr="003A3262">
        <w:rPr>
          <w:rFonts w:ascii="Times New Roman" w:hAnsi="Times New Roman"/>
          <w:bCs/>
          <w:i/>
          <w:sz w:val="24"/>
          <w:szCs w:val="24"/>
        </w:rPr>
        <w:t xml:space="preserve"> </w:t>
      </w:r>
      <w:proofErr w:type="spellStart"/>
      <w:r w:rsidRPr="003A3262">
        <w:rPr>
          <w:rFonts w:ascii="Times New Roman" w:hAnsi="Times New Roman"/>
          <w:bCs/>
          <w:i/>
          <w:sz w:val="24"/>
          <w:szCs w:val="24"/>
        </w:rPr>
        <w:t>Abertzale</w:t>
      </w:r>
      <w:proofErr w:type="spellEnd"/>
      <w:r w:rsidRPr="003A3262">
        <w:rPr>
          <w:rFonts w:ascii="Times New Roman" w:hAnsi="Times New Roman"/>
          <w:bCs/>
          <w:i/>
          <w:sz w:val="24"/>
          <w:szCs w:val="24"/>
        </w:rPr>
        <w:t xml:space="preserve"> </w:t>
      </w:r>
      <w:proofErr w:type="spellStart"/>
      <w:r w:rsidRPr="003A3262">
        <w:rPr>
          <w:rFonts w:ascii="Times New Roman" w:hAnsi="Times New Roman"/>
          <w:bCs/>
          <w:i/>
          <w:sz w:val="24"/>
          <w:szCs w:val="24"/>
        </w:rPr>
        <w:t>Sozialista</w:t>
      </w:r>
      <w:proofErr w:type="spellEnd"/>
      <w:r w:rsidRPr="003A3262">
        <w:rPr>
          <w:rFonts w:ascii="Times New Roman" w:hAnsi="Times New Roman"/>
          <w:sz w:val="24"/>
          <w:szCs w:val="24"/>
        </w:rPr>
        <w:t xml:space="preserve"> (KAS, Patriotic Socialist Coordinator) </w:t>
      </w:r>
      <w:r w:rsidRPr="006B1996">
        <w:rPr>
          <w:rFonts w:ascii="Times New Roman" w:hAnsi="Times New Roman"/>
          <w:sz w:val="24"/>
          <w:szCs w:val="24"/>
          <w:lang w:val="en-US"/>
        </w:rPr>
        <w:t xml:space="preserve">and its successor, EKIN, were banned, in 1998 and 2001 respectively, for forming part of a terrorist group, as were the international affairs association </w:t>
      </w:r>
      <w:proofErr w:type="spellStart"/>
      <w:r w:rsidRPr="006B1996">
        <w:rPr>
          <w:rFonts w:ascii="Times New Roman" w:hAnsi="Times New Roman"/>
          <w:i/>
          <w:sz w:val="24"/>
          <w:szCs w:val="24"/>
          <w:lang w:val="en-US"/>
        </w:rPr>
        <w:t>Xaki</w:t>
      </w:r>
      <w:proofErr w:type="spellEnd"/>
      <w:r w:rsidRPr="006B1996">
        <w:rPr>
          <w:rFonts w:ascii="Times New Roman" w:hAnsi="Times New Roman"/>
          <w:sz w:val="24"/>
          <w:szCs w:val="24"/>
          <w:lang w:val="en-US"/>
        </w:rPr>
        <w:t xml:space="preserve">, and the ETA prisoners’ lobby, </w:t>
      </w:r>
      <w:proofErr w:type="spellStart"/>
      <w:r w:rsidRPr="006B1996">
        <w:rPr>
          <w:rFonts w:ascii="Times New Roman" w:hAnsi="Times New Roman"/>
          <w:bCs/>
          <w:i/>
          <w:sz w:val="24"/>
          <w:szCs w:val="24"/>
          <w:lang w:val="en-US"/>
        </w:rPr>
        <w:t>Gestoras</w:t>
      </w:r>
      <w:proofErr w:type="spellEnd"/>
      <w:r w:rsidRPr="006B1996">
        <w:rPr>
          <w:rFonts w:ascii="Times New Roman" w:hAnsi="Times New Roman"/>
          <w:bCs/>
          <w:i/>
          <w:sz w:val="24"/>
          <w:szCs w:val="24"/>
          <w:lang w:val="en-US"/>
        </w:rPr>
        <w:t xml:space="preserve"> Pro </w:t>
      </w:r>
      <w:proofErr w:type="spellStart"/>
      <w:r w:rsidRPr="006B1996">
        <w:rPr>
          <w:rFonts w:ascii="Times New Roman" w:hAnsi="Times New Roman"/>
          <w:bCs/>
          <w:i/>
          <w:sz w:val="24"/>
          <w:szCs w:val="24"/>
          <w:lang w:val="en-US"/>
        </w:rPr>
        <w:t>Amnistía</w:t>
      </w:r>
      <w:proofErr w:type="spellEnd"/>
      <w:r w:rsidRPr="006B1996">
        <w:rPr>
          <w:rFonts w:ascii="Times New Roman" w:hAnsi="Times New Roman"/>
          <w:sz w:val="24"/>
          <w:szCs w:val="24"/>
          <w:lang w:val="en-US"/>
        </w:rPr>
        <w:t>.</w:t>
      </w:r>
      <w:r>
        <w:rPr>
          <w:rFonts w:ascii="Times New Roman" w:hAnsi="Times New Roman"/>
          <w:sz w:val="24"/>
          <w:szCs w:val="24"/>
          <w:lang w:val="en-US"/>
        </w:rPr>
        <w:t xml:space="preserve"> Prior to proscription in accordance with the LOPP, </w:t>
      </w:r>
      <w:r w:rsidRPr="006B1996">
        <w:rPr>
          <w:rFonts w:ascii="Times New Roman" w:hAnsi="Times New Roman"/>
          <w:sz w:val="24"/>
          <w:szCs w:val="24"/>
          <w:lang w:val="en-US"/>
        </w:rPr>
        <w:t xml:space="preserve">the </w:t>
      </w:r>
      <w:proofErr w:type="spellStart"/>
      <w:r w:rsidRPr="006B1996">
        <w:rPr>
          <w:rFonts w:ascii="Times New Roman" w:hAnsi="Times New Roman"/>
          <w:i/>
          <w:sz w:val="24"/>
          <w:szCs w:val="24"/>
          <w:lang w:val="en-US"/>
        </w:rPr>
        <w:t>Audiencia</w:t>
      </w:r>
      <w:proofErr w:type="spellEnd"/>
      <w:r w:rsidRPr="006B1996">
        <w:rPr>
          <w:rFonts w:ascii="Times New Roman" w:hAnsi="Times New Roman"/>
          <w:i/>
          <w:sz w:val="24"/>
          <w:szCs w:val="24"/>
          <w:lang w:val="en-US"/>
        </w:rPr>
        <w:t xml:space="preserve"> </w:t>
      </w:r>
      <w:proofErr w:type="spellStart"/>
      <w:r w:rsidRPr="006B1996">
        <w:rPr>
          <w:rFonts w:ascii="Times New Roman" w:hAnsi="Times New Roman"/>
          <w:i/>
          <w:sz w:val="24"/>
          <w:szCs w:val="24"/>
          <w:lang w:val="en-US"/>
        </w:rPr>
        <w:t>Nacional</w:t>
      </w:r>
      <w:proofErr w:type="spellEnd"/>
      <w:r w:rsidRPr="006B1996">
        <w:rPr>
          <w:rFonts w:ascii="Times New Roman" w:hAnsi="Times New Roman"/>
          <w:sz w:val="24"/>
          <w:szCs w:val="24"/>
          <w:lang w:val="en-US"/>
        </w:rPr>
        <w:t xml:space="preserve"> </w:t>
      </w:r>
      <w:r>
        <w:rPr>
          <w:rFonts w:ascii="Times New Roman" w:hAnsi="Times New Roman"/>
          <w:sz w:val="24"/>
          <w:szCs w:val="24"/>
          <w:lang w:val="en-US"/>
        </w:rPr>
        <w:t xml:space="preserve">had already </w:t>
      </w:r>
      <w:r w:rsidRPr="006B1996">
        <w:rPr>
          <w:rFonts w:ascii="Times New Roman" w:hAnsi="Times New Roman"/>
          <w:sz w:val="24"/>
          <w:szCs w:val="24"/>
          <w:lang w:val="en-US"/>
        </w:rPr>
        <w:t xml:space="preserve">suspended </w:t>
      </w:r>
      <w:proofErr w:type="spellStart"/>
      <w:r w:rsidRPr="006B1996">
        <w:rPr>
          <w:rFonts w:ascii="Times New Roman" w:hAnsi="Times New Roman"/>
          <w:i/>
          <w:sz w:val="24"/>
          <w:szCs w:val="24"/>
          <w:lang w:val="en-US"/>
        </w:rPr>
        <w:t>Batasuna’s</w:t>
      </w:r>
      <w:proofErr w:type="spellEnd"/>
      <w:r w:rsidRPr="006B1996">
        <w:rPr>
          <w:rFonts w:ascii="Times New Roman" w:hAnsi="Times New Roman"/>
          <w:sz w:val="24"/>
          <w:szCs w:val="24"/>
          <w:lang w:val="en-US"/>
        </w:rPr>
        <w:t xml:space="preserve"> political activity for three years (later extended to five) as a precautionary measure during investigations into its involvement in ETA.</w:t>
      </w:r>
      <w:r w:rsidRPr="006B1996">
        <w:rPr>
          <w:rStyle w:val="FootnoteReference"/>
          <w:sz w:val="24"/>
          <w:szCs w:val="24"/>
          <w:lang w:val="en-US"/>
        </w:rPr>
        <w:footnoteReference w:id="19"/>
      </w:r>
      <w:r>
        <w:rPr>
          <w:rFonts w:ascii="Times New Roman" w:hAnsi="Times New Roman"/>
          <w:sz w:val="24"/>
          <w:szCs w:val="24"/>
          <w:lang w:val="en-US"/>
        </w:rPr>
        <w:t xml:space="preserve"> </w:t>
      </w:r>
      <w:r w:rsidRPr="006B1996">
        <w:rPr>
          <w:rFonts w:ascii="Times New Roman" w:hAnsi="Times New Roman"/>
          <w:bCs/>
          <w:sz w:val="24"/>
          <w:szCs w:val="24"/>
        </w:rPr>
        <w:t xml:space="preserve">September 11 2001 attacks in the United States </w:t>
      </w:r>
      <w:r>
        <w:rPr>
          <w:rFonts w:ascii="Times New Roman" w:hAnsi="Times New Roman"/>
          <w:bCs/>
          <w:sz w:val="24"/>
          <w:szCs w:val="24"/>
        </w:rPr>
        <w:t xml:space="preserve">also </w:t>
      </w:r>
      <w:r w:rsidRPr="006B1996">
        <w:rPr>
          <w:rFonts w:ascii="Times New Roman" w:hAnsi="Times New Roman"/>
          <w:bCs/>
          <w:sz w:val="24"/>
          <w:szCs w:val="24"/>
        </w:rPr>
        <w:t>helped harden attitudes on terrorism (Esparza, 2004: 19).</w:t>
      </w:r>
    </w:p>
    <w:p w:rsidR="0021746F" w:rsidRPr="009B663A" w:rsidRDefault="0021746F" w:rsidP="00D23B78">
      <w:pPr>
        <w:spacing w:line="360" w:lineRule="auto"/>
        <w:jc w:val="center"/>
        <w:rPr>
          <w:b/>
        </w:rPr>
      </w:pPr>
      <w:r w:rsidRPr="009B663A">
        <w:rPr>
          <w:b/>
        </w:rPr>
        <w:t xml:space="preserve">Table </w:t>
      </w:r>
      <w:r>
        <w:rPr>
          <w:b/>
        </w:rPr>
        <w:t>1</w:t>
      </w:r>
      <w:r w:rsidRPr="009B663A">
        <w:rPr>
          <w:b/>
        </w:rPr>
        <w:t xml:space="preserve">: </w:t>
      </w:r>
      <w:r>
        <w:rPr>
          <w:b/>
        </w:rPr>
        <w:t>Parties banned in Spain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3"/>
        <w:gridCol w:w="1251"/>
        <w:gridCol w:w="2474"/>
        <w:gridCol w:w="2434"/>
      </w:tblGrid>
      <w:tr w:rsidR="0021746F" w:rsidTr="00EB6D51">
        <w:tc>
          <w:tcPr>
            <w:tcW w:w="2363" w:type="dxa"/>
          </w:tcPr>
          <w:p w:rsidR="0021746F" w:rsidRPr="00C92C09" w:rsidRDefault="0021746F" w:rsidP="00C92C09">
            <w:pPr>
              <w:autoSpaceDE w:val="0"/>
              <w:autoSpaceDN w:val="0"/>
              <w:adjustRightInd w:val="0"/>
              <w:spacing w:line="240" w:lineRule="auto"/>
              <w:rPr>
                <w:b/>
                <w:sz w:val="20"/>
                <w:szCs w:val="20"/>
              </w:rPr>
            </w:pPr>
            <w:r w:rsidRPr="00C92C09">
              <w:rPr>
                <w:b/>
                <w:sz w:val="20"/>
                <w:szCs w:val="20"/>
              </w:rPr>
              <w:t xml:space="preserve">Party </w:t>
            </w:r>
          </w:p>
        </w:tc>
        <w:tc>
          <w:tcPr>
            <w:tcW w:w="1251" w:type="dxa"/>
          </w:tcPr>
          <w:p w:rsidR="0021746F" w:rsidRPr="00C92C09" w:rsidRDefault="0021746F" w:rsidP="00C92C09">
            <w:pPr>
              <w:autoSpaceDE w:val="0"/>
              <w:autoSpaceDN w:val="0"/>
              <w:adjustRightInd w:val="0"/>
              <w:spacing w:line="240" w:lineRule="auto"/>
              <w:rPr>
                <w:b/>
                <w:sz w:val="20"/>
                <w:szCs w:val="20"/>
              </w:rPr>
            </w:pPr>
            <w:r w:rsidRPr="00C92C09">
              <w:rPr>
                <w:b/>
                <w:sz w:val="20"/>
                <w:szCs w:val="20"/>
              </w:rPr>
              <w:t xml:space="preserve">Year of ban </w:t>
            </w:r>
          </w:p>
        </w:tc>
        <w:tc>
          <w:tcPr>
            <w:tcW w:w="2474" w:type="dxa"/>
          </w:tcPr>
          <w:p w:rsidR="0021746F" w:rsidRPr="00C92C09" w:rsidRDefault="0021746F" w:rsidP="00C92C09">
            <w:pPr>
              <w:autoSpaceDE w:val="0"/>
              <w:autoSpaceDN w:val="0"/>
              <w:adjustRightInd w:val="0"/>
              <w:spacing w:line="240" w:lineRule="auto"/>
              <w:rPr>
                <w:b/>
                <w:sz w:val="20"/>
                <w:szCs w:val="20"/>
              </w:rPr>
            </w:pPr>
            <w:r w:rsidRPr="00C92C09">
              <w:rPr>
                <w:b/>
                <w:sz w:val="20"/>
                <w:szCs w:val="20"/>
              </w:rPr>
              <w:t>Type of ban procedure</w:t>
            </w:r>
          </w:p>
        </w:tc>
        <w:tc>
          <w:tcPr>
            <w:tcW w:w="2434" w:type="dxa"/>
          </w:tcPr>
          <w:p w:rsidR="0021746F" w:rsidRPr="00C92C09" w:rsidRDefault="0021746F" w:rsidP="00C92C09">
            <w:pPr>
              <w:autoSpaceDE w:val="0"/>
              <w:autoSpaceDN w:val="0"/>
              <w:adjustRightInd w:val="0"/>
              <w:spacing w:line="240" w:lineRule="auto"/>
              <w:rPr>
                <w:b/>
                <w:sz w:val="20"/>
                <w:szCs w:val="20"/>
              </w:rPr>
            </w:pPr>
            <w:r w:rsidRPr="00C92C09">
              <w:rPr>
                <w:b/>
                <w:sz w:val="20"/>
                <w:szCs w:val="20"/>
              </w:rPr>
              <w:t>Grounds for ban</w:t>
            </w:r>
          </w:p>
        </w:tc>
      </w:tr>
      <w:tr w:rsidR="0021746F" w:rsidTr="00EB6D51">
        <w:tc>
          <w:tcPr>
            <w:tcW w:w="2363" w:type="dxa"/>
          </w:tcPr>
          <w:p w:rsidR="0021746F" w:rsidRPr="00C92C09" w:rsidRDefault="0021746F" w:rsidP="00C92C09">
            <w:pPr>
              <w:autoSpaceDE w:val="0"/>
              <w:autoSpaceDN w:val="0"/>
              <w:adjustRightInd w:val="0"/>
              <w:spacing w:line="240" w:lineRule="auto"/>
              <w:rPr>
                <w:i/>
                <w:sz w:val="20"/>
                <w:szCs w:val="20"/>
              </w:rPr>
            </w:pPr>
            <w:proofErr w:type="spellStart"/>
            <w:r w:rsidRPr="00C92C09">
              <w:rPr>
                <w:i/>
                <w:sz w:val="20"/>
                <w:szCs w:val="20"/>
              </w:rPr>
              <w:t>Herri</w:t>
            </w:r>
            <w:proofErr w:type="spellEnd"/>
            <w:r w:rsidRPr="00C92C09">
              <w:rPr>
                <w:i/>
                <w:sz w:val="20"/>
                <w:szCs w:val="20"/>
              </w:rPr>
              <w:t xml:space="preserve"> </w:t>
            </w:r>
            <w:proofErr w:type="spellStart"/>
            <w:r w:rsidRPr="00C92C09">
              <w:rPr>
                <w:i/>
                <w:sz w:val="20"/>
                <w:szCs w:val="20"/>
              </w:rPr>
              <w:t>Batasuna</w:t>
            </w:r>
            <w:proofErr w:type="spellEnd"/>
          </w:p>
        </w:tc>
        <w:tc>
          <w:tcPr>
            <w:tcW w:w="1251" w:type="dxa"/>
          </w:tcPr>
          <w:p w:rsidR="0021746F" w:rsidRPr="00C92C09" w:rsidRDefault="0021746F" w:rsidP="00C92C09">
            <w:pPr>
              <w:autoSpaceDE w:val="0"/>
              <w:autoSpaceDN w:val="0"/>
              <w:adjustRightInd w:val="0"/>
              <w:spacing w:line="240" w:lineRule="auto"/>
              <w:rPr>
                <w:sz w:val="20"/>
                <w:szCs w:val="20"/>
              </w:rPr>
            </w:pPr>
            <w:r w:rsidRPr="00C92C09">
              <w:rPr>
                <w:sz w:val="20"/>
                <w:szCs w:val="20"/>
              </w:rPr>
              <w:t>1984</w:t>
            </w:r>
          </w:p>
        </w:tc>
        <w:tc>
          <w:tcPr>
            <w:tcW w:w="2474" w:type="dxa"/>
          </w:tcPr>
          <w:p w:rsidR="0021746F" w:rsidRPr="00C92C09" w:rsidRDefault="0021746F" w:rsidP="00C92C09">
            <w:pPr>
              <w:autoSpaceDE w:val="0"/>
              <w:autoSpaceDN w:val="0"/>
              <w:adjustRightInd w:val="0"/>
              <w:spacing w:line="240" w:lineRule="auto"/>
              <w:rPr>
                <w:sz w:val="20"/>
                <w:szCs w:val="20"/>
              </w:rPr>
            </w:pPr>
            <w:r w:rsidRPr="00C92C09">
              <w:rPr>
                <w:sz w:val="20"/>
                <w:szCs w:val="20"/>
              </w:rPr>
              <w:t>Non-registration (overruled)</w:t>
            </w:r>
          </w:p>
        </w:tc>
        <w:tc>
          <w:tcPr>
            <w:tcW w:w="2434" w:type="dxa"/>
          </w:tcPr>
          <w:p w:rsidR="0021746F" w:rsidRPr="00C92C09" w:rsidRDefault="0021746F" w:rsidP="00C92C09">
            <w:pPr>
              <w:autoSpaceDE w:val="0"/>
              <w:autoSpaceDN w:val="0"/>
              <w:adjustRightInd w:val="0"/>
              <w:spacing w:line="240" w:lineRule="auto"/>
              <w:rPr>
                <w:sz w:val="20"/>
                <w:szCs w:val="20"/>
                <w:highlight w:val="yellow"/>
              </w:rPr>
            </w:pPr>
            <w:r w:rsidRPr="00C92C09">
              <w:rPr>
                <w:sz w:val="20"/>
                <w:szCs w:val="20"/>
              </w:rPr>
              <w:t>Formal defects</w:t>
            </w:r>
          </w:p>
        </w:tc>
      </w:tr>
      <w:tr w:rsidR="0021746F" w:rsidTr="00EB6D51">
        <w:tc>
          <w:tcPr>
            <w:tcW w:w="2363" w:type="dxa"/>
          </w:tcPr>
          <w:p w:rsidR="0021746F" w:rsidRPr="00C92C09" w:rsidRDefault="0021746F" w:rsidP="00C92C09">
            <w:pPr>
              <w:autoSpaceDE w:val="0"/>
              <w:autoSpaceDN w:val="0"/>
              <w:adjustRightInd w:val="0"/>
              <w:spacing w:line="240" w:lineRule="auto"/>
              <w:rPr>
                <w:i/>
                <w:sz w:val="20"/>
                <w:szCs w:val="20"/>
              </w:rPr>
            </w:pPr>
            <w:proofErr w:type="spellStart"/>
            <w:r w:rsidRPr="00C92C09">
              <w:rPr>
                <w:i/>
                <w:sz w:val="20"/>
                <w:szCs w:val="20"/>
              </w:rPr>
              <w:t>Herri</w:t>
            </w:r>
            <w:proofErr w:type="spellEnd"/>
            <w:r w:rsidRPr="00C92C09">
              <w:rPr>
                <w:i/>
                <w:sz w:val="20"/>
                <w:szCs w:val="20"/>
              </w:rPr>
              <w:t xml:space="preserve"> </w:t>
            </w:r>
            <w:proofErr w:type="spellStart"/>
            <w:r w:rsidRPr="00C92C09">
              <w:rPr>
                <w:i/>
                <w:sz w:val="20"/>
                <w:szCs w:val="20"/>
              </w:rPr>
              <w:t>Batasuna</w:t>
            </w:r>
            <w:proofErr w:type="spellEnd"/>
          </w:p>
        </w:tc>
        <w:tc>
          <w:tcPr>
            <w:tcW w:w="1251" w:type="dxa"/>
          </w:tcPr>
          <w:p w:rsidR="0021746F" w:rsidRPr="00C92C09" w:rsidRDefault="0021746F" w:rsidP="00C92C09">
            <w:pPr>
              <w:autoSpaceDE w:val="0"/>
              <w:autoSpaceDN w:val="0"/>
              <w:adjustRightInd w:val="0"/>
              <w:spacing w:line="240" w:lineRule="auto"/>
              <w:rPr>
                <w:sz w:val="20"/>
                <w:szCs w:val="20"/>
              </w:rPr>
            </w:pPr>
            <w:r w:rsidRPr="00C92C09">
              <w:rPr>
                <w:sz w:val="20"/>
                <w:szCs w:val="20"/>
              </w:rPr>
              <w:t>1986</w:t>
            </w:r>
          </w:p>
        </w:tc>
        <w:tc>
          <w:tcPr>
            <w:tcW w:w="2474" w:type="dxa"/>
          </w:tcPr>
          <w:p w:rsidR="0021746F" w:rsidRPr="00C92C09" w:rsidRDefault="0021746F" w:rsidP="00C92C09">
            <w:pPr>
              <w:autoSpaceDE w:val="0"/>
              <w:autoSpaceDN w:val="0"/>
              <w:adjustRightInd w:val="0"/>
              <w:spacing w:line="240" w:lineRule="auto"/>
              <w:rPr>
                <w:sz w:val="20"/>
                <w:szCs w:val="20"/>
              </w:rPr>
            </w:pPr>
            <w:r w:rsidRPr="00C92C09">
              <w:rPr>
                <w:sz w:val="20"/>
                <w:szCs w:val="20"/>
              </w:rPr>
              <w:t>Non-registration (overruled)</w:t>
            </w:r>
          </w:p>
        </w:tc>
        <w:tc>
          <w:tcPr>
            <w:tcW w:w="2434" w:type="dxa"/>
          </w:tcPr>
          <w:p w:rsidR="0021746F" w:rsidRPr="00C92C09" w:rsidRDefault="0021746F" w:rsidP="00C92C09">
            <w:pPr>
              <w:autoSpaceDE w:val="0"/>
              <w:autoSpaceDN w:val="0"/>
              <w:adjustRightInd w:val="0"/>
              <w:spacing w:line="240" w:lineRule="auto"/>
              <w:rPr>
                <w:sz w:val="20"/>
                <w:szCs w:val="20"/>
                <w:highlight w:val="yellow"/>
              </w:rPr>
            </w:pPr>
            <w:r w:rsidRPr="00C92C09">
              <w:rPr>
                <w:sz w:val="20"/>
                <w:szCs w:val="20"/>
              </w:rPr>
              <w:t>Illicit association</w:t>
            </w:r>
          </w:p>
        </w:tc>
      </w:tr>
      <w:tr w:rsidR="0021746F" w:rsidTr="00EB6D51">
        <w:tc>
          <w:tcPr>
            <w:tcW w:w="2363" w:type="dxa"/>
          </w:tcPr>
          <w:p w:rsidR="0021746F" w:rsidRPr="00C92C09" w:rsidRDefault="0021746F" w:rsidP="00C92C09">
            <w:pPr>
              <w:autoSpaceDE w:val="0"/>
              <w:autoSpaceDN w:val="0"/>
              <w:adjustRightInd w:val="0"/>
              <w:spacing w:line="240" w:lineRule="auto"/>
              <w:rPr>
                <w:sz w:val="20"/>
                <w:szCs w:val="20"/>
                <w:lang w:val="es-ES"/>
              </w:rPr>
            </w:pPr>
            <w:proofErr w:type="spellStart"/>
            <w:r w:rsidRPr="00C92C09">
              <w:rPr>
                <w:i/>
                <w:sz w:val="20"/>
                <w:szCs w:val="20"/>
                <w:lang w:val="es-ES"/>
              </w:rPr>
              <w:t>Herri</w:t>
            </w:r>
            <w:proofErr w:type="spellEnd"/>
            <w:r w:rsidRPr="00C92C09">
              <w:rPr>
                <w:i/>
                <w:sz w:val="20"/>
                <w:szCs w:val="20"/>
                <w:lang w:val="es-ES"/>
              </w:rPr>
              <w:t xml:space="preserve"> Batasuna, </w:t>
            </w:r>
            <w:proofErr w:type="spellStart"/>
            <w:r w:rsidRPr="00C92C09">
              <w:rPr>
                <w:i/>
                <w:iCs/>
                <w:sz w:val="20"/>
                <w:szCs w:val="20"/>
                <w:lang w:val="es-ES"/>
              </w:rPr>
              <w:t>Euskal</w:t>
            </w:r>
            <w:proofErr w:type="spellEnd"/>
            <w:r w:rsidRPr="00C92C09">
              <w:rPr>
                <w:i/>
                <w:iCs/>
                <w:sz w:val="20"/>
                <w:szCs w:val="20"/>
                <w:lang w:val="es-ES"/>
              </w:rPr>
              <w:t xml:space="preserve"> </w:t>
            </w:r>
            <w:proofErr w:type="spellStart"/>
            <w:r w:rsidRPr="00C92C09">
              <w:rPr>
                <w:i/>
                <w:iCs/>
                <w:sz w:val="20"/>
                <w:szCs w:val="20"/>
                <w:lang w:val="es-ES"/>
              </w:rPr>
              <w:t>Herritarrok</w:t>
            </w:r>
            <w:proofErr w:type="spellEnd"/>
            <w:r>
              <w:rPr>
                <w:i/>
                <w:iCs/>
                <w:sz w:val="20"/>
                <w:szCs w:val="20"/>
                <w:lang w:val="es-ES"/>
              </w:rPr>
              <w:t xml:space="preserve">, </w:t>
            </w:r>
            <w:r w:rsidRPr="00C92C09">
              <w:rPr>
                <w:i/>
                <w:sz w:val="20"/>
                <w:szCs w:val="20"/>
                <w:lang w:val="es-ES"/>
              </w:rPr>
              <w:t>Batasuna</w:t>
            </w:r>
          </w:p>
        </w:tc>
        <w:tc>
          <w:tcPr>
            <w:tcW w:w="1251" w:type="dxa"/>
          </w:tcPr>
          <w:p w:rsidR="0021746F" w:rsidRPr="00C92C09" w:rsidRDefault="0021746F" w:rsidP="00C92C09">
            <w:pPr>
              <w:autoSpaceDE w:val="0"/>
              <w:autoSpaceDN w:val="0"/>
              <w:adjustRightInd w:val="0"/>
              <w:spacing w:line="240" w:lineRule="auto"/>
              <w:rPr>
                <w:sz w:val="20"/>
                <w:szCs w:val="20"/>
              </w:rPr>
            </w:pPr>
            <w:r w:rsidRPr="00C92C09">
              <w:rPr>
                <w:sz w:val="20"/>
                <w:szCs w:val="20"/>
              </w:rPr>
              <w:t>2003</w:t>
            </w:r>
          </w:p>
        </w:tc>
        <w:tc>
          <w:tcPr>
            <w:tcW w:w="2474" w:type="dxa"/>
          </w:tcPr>
          <w:p w:rsidR="0021746F" w:rsidRPr="00C92C09" w:rsidRDefault="0021746F" w:rsidP="00C92C09">
            <w:pPr>
              <w:autoSpaceDE w:val="0"/>
              <w:autoSpaceDN w:val="0"/>
              <w:adjustRightInd w:val="0"/>
              <w:spacing w:line="240" w:lineRule="auto"/>
              <w:rPr>
                <w:sz w:val="20"/>
                <w:szCs w:val="20"/>
              </w:rPr>
            </w:pPr>
            <w:r w:rsidRPr="00C92C09">
              <w:rPr>
                <w:sz w:val="20"/>
                <w:szCs w:val="20"/>
              </w:rPr>
              <w:t>Parties declared illegal and dissolved.</w:t>
            </w:r>
          </w:p>
        </w:tc>
        <w:tc>
          <w:tcPr>
            <w:tcW w:w="2434" w:type="dxa"/>
          </w:tcPr>
          <w:p w:rsidR="0021746F" w:rsidRPr="00C92C09" w:rsidRDefault="0021746F" w:rsidP="00C92C09">
            <w:pPr>
              <w:autoSpaceDE w:val="0"/>
              <w:autoSpaceDN w:val="0"/>
              <w:adjustRightInd w:val="0"/>
              <w:spacing w:line="240" w:lineRule="auto"/>
              <w:rPr>
                <w:sz w:val="20"/>
                <w:szCs w:val="20"/>
              </w:rPr>
            </w:pPr>
            <w:r w:rsidRPr="00C92C09">
              <w:rPr>
                <w:sz w:val="20"/>
                <w:szCs w:val="20"/>
              </w:rPr>
              <w:t xml:space="preserve">Complement to and support for a terrorist organisation. </w:t>
            </w:r>
          </w:p>
        </w:tc>
      </w:tr>
      <w:tr w:rsidR="0021746F" w:rsidTr="00EB6D51">
        <w:tc>
          <w:tcPr>
            <w:tcW w:w="2363" w:type="dxa"/>
          </w:tcPr>
          <w:p w:rsidR="0021746F" w:rsidRPr="00C92C09" w:rsidRDefault="0021746F" w:rsidP="00C92C09">
            <w:pPr>
              <w:autoSpaceDE w:val="0"/>
              <w:autoSpaceDN w:val="0"/>
              <w:adjustRightInd w:val="0"/>
              <w:spacing w:line="240" w:lineRule="auto"/>
              <w:rPr>
                <w:sz w:val="20"/>
                <w:szCs w:val="20"/>
              </w:rPr>
            </w:pPr>
            <w:proofErr w:type="spellStart"/>
            <w:r w:rsidRPr="00C92C09">
              <w:rPr>
                <w:i/>
                <w:sz w:val="20"/>
                <w:szCs w:val="20"/>
              </w:rPr>
              <w:t>Autodeterminaziorako</w:t>
            </w:r>
            <w:proofErr w:type="spellEnd"/>
            <w:r w:rsidRPr="00C92C09">
              <w:rPr>
                <w:i/>
                <w:sz w:val="20"/>
                <w:szCs w:val="20"/>
              </w:rPr>
              <w:t xml:space="preserve"> </w:t>
            </w:r>
            <w:proofErr w:type="spellStart"/>
            <w:r w:rsidRPr="00C92C09">
              <w:rPr>
                <w:i/>
                <w:sz w:val="20"/>
                <w:szCs w:val="20"/>
              </w:rPr>
              <w:t>Bilgunea</w:t>
            </w:r>
            <w:proofErr w:type="spellEnd"/>
            <w:r w:rsidRPr="00C92C09">
              <w:rPr>
                <w:i/>
                <w:sz w:val="20"/>
                <w:szCs w:val="20"/>
              </w:rPr>
              <w:t xml:space="preserve"> and others</w:t>
            </w:r>
          </w:p>
        </w:tc>
        <w:tc>
          <w:tcPr>
            <w:tcW w:w="1251" w:type="dxa"/>
          </w:tcPr>
          <w:p w:rsidR="0021746F" w:rsidRPr="00C92C09" w:rsidRDefault="0021746F" w:rsidP="00C92C09">
            <w:pPr>
              <w:autoSpaceDE w:val="0"/>
              <w:autoSpaceDN w:val="0"/>
              <w:adjustRightInd w:val="0"/>
              <w:spacing w:line="240" w:lineRule="auto"/>
              <w:rPr>
                <w:sz w:val="20"/>
                <w:szCs w:val="20"/>
              </w:rPr>
            </w:pPr>
            <w:r w:rsidRPr="00C92C09">
              <w:rPr>
                <w:sz w:val="20"/>
                <w:szCs w:val="20"/>
              </w:rPr>
              <w:t>2003</w:t>
            </w:r>
          </w:p>
        </w:tc>
        <w:tc>
          <w:tcPr>
            <w:tcW w:w="2474" w:type="dxa"/>
          </w:tcPr>
          <w:p w:rsidR="0021746F" w:rsidRPr="00C92C09" w:rsidRDefault="0021746F" w:rsidP="00C92C09">
            <w:pPr>
              <w:autoSpaceDE w:val="0"/>
              <w:autoSpaceDN w:val="0"/>
              <w:adjustRightInd w:val="0"/>
              <w:spacing w:line="240" w:lineRule="auto"/>
              <w:rPr>
                <w:sz w:val="20"/>
                <w:szCs w:val="20"/>
              </w:rPr>
            </w:pPr>
            <w:r w:rsidRPr="00C92C09">
              <w:rPr>
                <w:sz w:val="20"/>
                <w:szCs w:val="20"/>
              </w:rPr>
              <w:t xml:space="preserve">Disqualification of electoral grouping lists </w:t>
            </w:r>
          </w:p>
        </w:tc>
        <w:tc>
          <w:tcPr>
            <w:tcW w:w="2434" w:type="dxa"/>
          </w:tcPr>
          <w:p w:rsidR="0021746F" w:rsidRPr="00C92C09" w:rsidRDefault="0021746F" w:rsidP="00C92C09">
            <w:pPr>
              <w:autoSpaceDE w:val="0"/>
              <w:autoSpaceDN w:val="0"/>
              <w:adjustRightInd w:val="0"/>
              <w:spacing w:line="240" w:lineRule="auto"/>
              <w:rPr>
                <w:sz w:val="20"/>
                <w:szCs w:val="20"/>
              </w:rPr>
            </w:pPr>
            <w:proofErr w:type="spellStart"/>
            <w:r w:rsidRPr="00C92C09">
              <w:rPr>
                <w:i/>
                <w:sz w:val="20"/>
                <w:szCs w:val="20"/>
              </w:rPr>
              <w:t>Batasuna</w:t>
            </w:r>
            <w:proofErr w:type="spellEnd"/>
            <w:r w:rsidRPr="00C92C09">
              <w:rPr>
                <w:sz w:val="20"/>
                <w:szCs w:val="20"/>
              </w:rPr>
              <w:t xml:space="preserve"> successor</w:t>
            </w:r>
          </w:p>
        </w:tc>
      </w:tr>
      <w:tr w:rsidR="0021746F" w:rsidTr="00EB6D51">
        <w:tc>
          <w:tcPr>
            <w:tcW w:w="2363" w:type="dxa"/>
          </w:tcPr>
          <w:p w:rsidR="0021746F" w:rsidRPr="00C92C09" w:rsidRDefault="0021746F" w:rsidP="00C92C09">
            <w:pPr>
              <w:autoSpaceDE w:val="0"/>
              <w:autoSpaceDN w:val="0"/>
              <w:adjustRightInd w:val="0"/>
              <w:spacing w:line="240" w:lineRule="auto"/>
              <w:rPr>
                <w:sz w:val="20"/>
                <w:szCs w:val="20"/>
              </w:rPr>
            </w:pPr>
            <w:proofErr w:type="spellStart"/>
            <w:r w:rsidRPr="00C92C09">
              <w:rPr>
                <w:i/>
                <w:sz w:val="20"/>
                <w:szCs w:val="20"/>
              </w:rPr>
              <w:t>Herritarren</w:t>
            </w:r>
            <w:proofErr w:type="spellEnd"/>
            <w:r w:rsidRPr="00C92C09">
              <w:rPr>
                <w:i/>
                <w:sz w:val="20"/>
                <w:szCs w:val="20"/>
              </w:rPr>
              <w:t xml:space="preserve"> </w:t>
            </w:r>
            <w:proofErr w:type="spellStart"/>
            <w:r w:rsidRPr="00C92C09">
              <w:rPr>
                <w:i/>
                <w:sz w:val="20"/>
                <w:szCs w:val="20"/>
              </w:rPr>
              <w:t>Zerenda</w:t>
            </w:r>
            <w:proofErr w:type="spellEnd"/>
          </w:p>
        </w:tc>
        <w:tc>
          <w:tcPr>
            <w:tcW w:w="1251" w:type="dxa"/>
          </w:tcPr>
          <w:p w:rsidR="0021746F" w:rsidRPr="00C92C09" w:rsidRDefault="0021746F" w:rsidP="00C92C09">
            <w:pPr>
              <w:autoSpaceDE w:val="0"/>
              <w:autoSpaceDN w:val="0"/>
              <w:adjustRightInd w:val="0"/>
              <w:spacing w:line="240" w:lineRule="auto"/>
              <w:rPr>
                <w:sz w:val="20"/>
                <w:szCs w:val="20"/>
              </w:rPr>
            </w:pPr>
            <w:r w:rsidRPr="00C92C09">
              <w:rPr>
                <w:sz w:val="20"/>
                <w:szCs w:val="20"/>
              </w:rPr>
              <w:t>2004</w:t>
            </w:r>
          </w:p>
        </w:tc>
        <w:tc>
          <w:tcPr>
            <w:tcW w:w="2474" w:type="dxa"/>
          </w:tcPr>
          <w:p w:rsidR="0021746F" w:rsidRPr="00C92C09" w:rsidRDefault="0021746F" w:rsidP="00C92C09">
            <w:pPr>
              <w:autoSpaceDE w:val="0"/>
              <w:autoSpaceDN w:val="0"/>
              <w:adjustRightInd w:val="0"/>
              <w:spacing w:line="240" w:lineRule="auto"/>
              <w:rPr>
                <w:sz w:val="20"/>
                <w:szCs w:val="20"/>
              </w:rPr>
            </w:pPr>
            <w:r w:rsidRPr="00C92C09">
              <w:rPr>
                <w:sz w:val="20"/>
                <w:szCs w:val="20"/>
              </w:rPr>
              <w:t xml:space="preserve">Disqualification of electoral grouping list </w:t>
            </w:r>
          </w:p>
        </w:tc>
        <w:tc>
          <w:tcPr>
            <w:tcW w:w="2434" w:type="dxa"/>
          </w:tcPr>
          <w:p w:rsidR="0021746F" w:rsidRPr="00C92C09" w:rsidRDefault="0021746F" w:rsidP="00C92C09">
            <w:pPr>
              <w:autoSpaceDE w:val="0"/>
              <w:autoSpaceDN w:val="0"/>
              <w:adjustRightInd w:val="0"/>
              <w:spacing w:line="240" w:lineRule="auto"/>
              <w:rPr>
                <w:sz w:val="20"/>
                <w:szCs w:val="20"/>
              </w:rPr>
            </w:pPr>
            <w:proofErr w:type="spellStart"/>
            <w:r w:rsidRPr="00C92C09">
              <w:rPr>
                <w:i/>
                <w:sz w:val="20"/>
                <w:szCs w:val="20"/>
              </w:rPr>
              <w:t>Batasuna</w:t>
            </w:r>
            <w:proofErr w:type="spellEnd"/>
            <w:r w:rsidRPr="00C92C09">
              <w:rPr>
                <w:sz w:val="20"/>
                <w:szCs w:val="20"/>
              </w:rPr>
              <w:t xml:space="preserve"> successor </w:t>
            </w:r>
          </w:p>
        </w:tc>
      </w:tr>
      <w:tr w:rsidR="0021746F" w:rsidTr="00EB6D51">
        <w:tc>
          <w:tcPr>
            <w:tcW w:w="2363" w:type="dxa"/>
          </w:tcPr>
          <w:p w:rsidR="0021746F" w:rsidRPr="00C92C09" w:rsidRDefault="0021746F" w:rsidP="00C92C09">
            <w:pPr>
              <w:autoSpaceDE w:val="0"/>
              <w:autoSpaceDN w:val="0"/>
              <w:adjustRightInd w:val="0"/>
              <w:spacing w:line="240" w:lineRule="auto"/>
              <w:rPr>
                <w:sz w:val="20"/>
                <w:szCs w:val="20"/>
              </w:rPr>
            </w:pPr>
            <w:proofErr w:type="spellStart"/>
            <w:r w:rsidRPr="00C92C09">
              <w:rPr>
                <w:i/>
                <w:sz w:val="20"/>
                <w:szCs w:val="20"/>
              </w:rPr>
              <w:t>Aukera</w:t>
            </w:r>
            <w:proofErr w:type="spellEnd"/>
            <w:r w:rsidRPr="00C92C09">
              <w:rPr>
                <w:i/>
                <w:sz w:val="20"/>
                <w:szCs w:val="20"/>
              </w:rPr>
              <w:t xml:space="preserve"> </w:t>
            </w:r>
            <w:proofErr w:type="spellStart"/>
            <w:r w:rsidRPr="00C92C09">
              <w:rPr>
                <w:i/>
                <w:sz w:val="20"/>
                <w:szCs w:val="20"/>
              </w:rPr>
              <w:t>Guztiak</w:t>
            </w:r>
            <w:proofErr w:type="spellEnd"/>
            <w:r w:rsidRPr="00C92C09">
              <w:rPr>
                <w:i/>
                <w:sz w:val="20"/>
                <w:szCs w:val="20"/>
              </w:rPr>
              <w:t xml:space="preserve"> </w:t>
            </w:r>
          </w:p>
        </w:tc>
        <w:tc>
          <w:tcPr>
            <w:tcW w:w="1251" w:type="dxa"/>
          </w:tcPr>
          <w:p w:rsidR="0021746F" w:rsidRPr="00C92C09" w:rsidRDefault="0021746F" w:rsidP="00C92C09">
            <w:pPr>
              <w:autoSpaceDE w:val="0"/>
              <w:autoSpaceDN w:val="0"/>
              <w:adjustRightInd w:val="0"/>
              <w:spacing w:line="240" w:lineRule="auto"/>
              <w:rPr>
                <w:sz w:val="20"/>
                <w:szCs w:val="20"/>
              </w:rPr>
            </w:pPr>
            <w:r w:rsidRPr="00C92C09">
              <w:rPr>
                <w:sz w:val="20"/>
                <w:szCs w:val="20"/>
              </w:rPr>
              <w:t>2005</w:t>
            </w:r>
          </w:p>
        </w:tc>
        <w:tc>
          <w:tcPr>
            <w:tcW w:w="2474" w:type="dxa"/>
          </w:tcPr>
          <w:p w:rsidR="0021746F" w:rsidRPr="00C92C09" w:rsidRDefault="0021746F" w:rsidP="00C92C09">
            <w:pPr>
              <w:autoSpaceDE w:val="0"/>
              <w:autoSpaceDN w:val="0"/>
              <w:adjustRightInd w:val="0"/>
              <w:spacing w:line="240" w:lineRule="auto"/>
              <w:rPr>
                <w:sz w:val="20"/>
                <w:szCs w:val="20"/>
              </w:rPr>
            </w:pPr>
            <w:r w:rsidRPr="00C92C09">
              <w:rPr>
                <w:sz w:val="20"/>
                <w:szCs w:val="20"/>
              </w:rPr>
              <w:t xml:space="preserve">Disqualification of electoral grouping lists </w:t>
            </w:r>
          </w:p>
        </w:tc>
        <w:tc>
          <w:tcPr>
            <w:tcW w:w="2434" w:type="dxa"/>
          </w:tcPr>
          <w:p w:rsidR="0021746F" w:rsidRPr="00C92C09" w:rsidRDefault="0021746F" w:rsidP="00C92C09">
            <w:pPr>
              <w:autoSpaceDE w:val="0"/>
              <w:autoSpaceDN w:val="0"/>
              <w:adjustRightInd w:val="0"/>
              <w:spacing w:line="240" w:lineRule="auto"/>
              <w:rPr>
                <w:i/>
                <w:sz w:val="20"/>
                <w:szCs w:val="20"/>
              </w:rPr>
            </w:pPr>
            <w:proofErr w:type="spellStart"/>
            <w:r w:rsidRPr="00C92C09">
              <w:rPr>
                <w:i/>
                <w:sz w:val="20"/>
                <w:szCs w:val="20"/>
              </w:rPr>
              <w:t>Batasuna</w:t>
            </w:r>
            <w:proofErr w:type="spellEnd"/>
            <w:r w:rsidRPr="00C92C09">
              <w:rPr>
                <w:sz w:val="20"/>
                <w:szCs w:val="20"/>
              </w:rPr>
              <w:t xml:space="preserve"> successor</w:t>
            </w:r>
          </w:p>
        </w:tc>
      </w:tr>
      <w:tr w:rsidR="0021746F" w:rsidTr="00EB6D51">
        <w:tc>
          <w:tcPr>
            <w:tcW w:w="2363" w:type="dxa"/>
          </w:tcPr>
          <w:p w:rsidR="0021746F" w:rsidRPr="00C92C09" w:rsidRDefault="0021746F" w:rsidP="00C92C09">
            <w:pPr>
              <w:autoSpaceDE w:val="0"/>
              <w:autoSpaceDN w:val="0"/>
              <w:adjustRightInd w:val="0"/>
              <w:spacing w:line="240" w:lineRule="auto"/>
              <w:rPr>
                <w:sz w:val="20"/>
                <w:szCs w:val="20"/>
              </w:rPr>
            </w:pPr>
            <w:proofErr w:type="spellStart"/>
            <w:r w:rsidRPr="00C92C09">
              <w:rPr>
                <w:i/>
                <w:sz w:val="20"/>
                <w:szCs w:val="20"/>
              </w:rPr>
              <w:t>Abertzale</w:t>
            </w:r>
            <w:proofErr w:type="spellEnd"/>
            <w:r w:rsidRPr="00C92C09">
              <w:rPr>
                <w:i/>
                <w:sz w:val="20"/>
                <w:szCs w:val="20"/>
              </w:rPr>
              <w:t xml:space="preserve"> </w:t>
            </w:r>
            <w:proofErr w:type="spellStart"/>
            <w:r w:rsidRPr="00C92C09">
              <w:rPr>
                <w:i/>
                <w:sz w:val="20"/>
                <w:szCs w:val="20"/>
              </w:rPr>
              <w:t>Sozialisten</w:t>
            </w:r>
            <w:proofErr w:type="spellEnd"/>
            <w:r w:rsidRPr="00C92C09">
              <w:rPr>
                <w:i/>
                <w:sz w:val="20"/>
                <w:szCs w:val="20"/>
              </w:rPr>
              <w:t xml:space="preserve"> </w:t>
            </w:r>
            <w:proofErr w:type="spellStart"/>
            <w:r w:rsidRPr="00C92C09">
              <w:rPr>
                <w:i/>
                <w:sz w:val="20"/>
                <w:szCs w:val="20"/>
              </w:rPr>
              <w:t>Batasuna</w:t>
            </w:r>
            <w:proofErr w:type="spellEnd"/>
          </w:p>
        </w:tc>
        <w:tc>
          <w:tcPr>
            <w:tcW w:w="1251" w:type="dxa"/>
          </w:tcPr>
          <w:p w:rsidR="0021746F" w:rsidRPr="00C92C09" w:rsidRDefault="0021746F" w:rsidP="00C92C09">
            <w:pPr>
              <w:autoSpaceDE w:val="0"/>
              <w:autoSpaceDN w:val="0"/>
              <w:adjustRightInd w:val="0"/>
              <w:spacing w:line="240" w:lineRule="auto"/>
              <w:rPr>
                <w:sz w:val="20"/>
                <w:szCs w:val="20"/>
              </w:rPr>
            </w:pPr>
            <w:r w:rsidRPr="00C92C09">
              <w:rPr>
                <w:sz w:val="20"/>
                <w:szCs w:val="20"/>
              </w:rPr>
              <w:t>2007</w:t>
            </w:r>
          </w:p>
        </w:tc>
        <w:tc>
          <w:tcPr>
            <w:tcW w:w="2474" w:type="dxa"/>
          </w:tcPr>
          <w:p w:rsidR="0021746F" w:rsidRPr="00C92C09" w:rsidRDefault="0021746F" w:rsidP="00C92C09">
            <w:pPr>
              <w:autoSpaceDE w:val="0"/>
              <w:autoSpaceDN w:val="0"/>
              <w:adjustRightInd w:val="0"/>
              <w:spacing w:line="240" w:lineRule="auto"/>
              <w:rPr>
                <w:sz w:val="20"/>
                <w:szCs w:val="20"/>
              </w:rPr>
            </w:pPr>
            <w:r w:rsidRPr="00C92C09">
              <w:rPr>
                <w:sz w:val="20"/>
                <w:szCs w:val="20"/>
              </w:rPr>
              <w:t xml:space="preserve">Party denied registration </w:t>
            </w:r>
          </w:p>
        </w:tc>
        <w:tc>
          <w:tcPr>
            <w:tcW w:w="2434" w:type="dxa"/>
          </w:tcPr>
          <w:p w:rsidR="0021746F" w:rsidRPr="00C92C09" w:rsidRDefault="0021746F" w:rsidP="00C92C09">
            <w:pPr>
              <w:autoSpaceDE w:val="0"/>
              <w:autoSpaceDN w:val="0"/>
              <w:adjustRightInd w:val="0"/>
              <w:spacing w:line="240" w:lineRule="auto"/>
              <w:rPr>
                <w:i/>
                <w:sz w:val="20"/>
                <w:szCs w:val="20"/>
              </w:rPr>
            </w:pPr>
            <w:proofErr w:type="spellStart"/>
            <w:r w:rsidRPr="00C92C09">
              <w:rPr>
                <w:i/>
                <w:sz w:val="20"/>
                <w:szCs w:val="20"/>
              </w:rPr>
              <w:t>Batasuna</w:t>
            </w:r>
            <w:proofErr w:type="spellEnd"/>
            <w:r w:rsidRPr="00C92C09">
              <w:rPr>
                <w:sz w:val="20"/>
                <w:szCs w:val="20"/>
              </w:rPr>
              <w:t xml:space="preserve"> successor</w:t>
            </w:r>
          </w:p>
        </w:tc>
      </w:tr>
      <w:tr w:rsidR="0021746F" w:rsidTr="00EB6D51">
        <w:tc>
          <w:tcPr>
            <w:tcW w:w="2363" w:type="dxa"/>
          </w:tcPr>
          <w:p w:rsidR="0021746F" w:rsidRPr="00C92C09" w:rsidRDefault="0021746F" w:rsidP="00C92C09">
            <w:pPr>
              <w:autoSpaceDE w:val="0"/>
              <w:autoSpaceDN w:val="0"/>
              <w:adjustRightInd w:val="0"/>
              <w:spacing w:line="240" w:lineRule="auto"/>
              <w:rPr>
                <w:i/>
                <w:sz w:val="20"/>
                <w:szCs w:val="20"/>
              </w:rPr>
            </w:pPr>
            <w:proofErr w:type="spellStart"/>
            <w:r w:rsidRPr="00C92C09">
              <w:rPr>
                <w:i/>
                <w:sz w:val="20"/>
                <w:szCs w:val="20"/>
              </w:rPr>
              <w:lastRenderedPageBreak/>
              <w:t>Eusko</w:t>
            </w:r>
            <w:proofErr w:type="spellEnd"/>
            <w:r w:rsidRPr="00C92C09">
              <w:rPr>
                <w:i/>
                <w:sz w:val="20"/>
                <w:szCs w:val="20"/>
              </w:rPr>
              <w:t xml:space="preserve"> </w:t>
            </w:r>
            <w:proofErr w:type="spellStart"/>
            <w:r w:rsidRPr="00C92C09">
              <w:rPr>
                <w:i/>
                <w:sz w:val="20"/>
                <w:szCs w:val="20"/>
              </w:rPr>
              <w:t>Abertzale</w:t>
            </w:r>
            <w:proofErr w:type="spellEnd"/>
            <w:r w:rsidRPr="00C92C09">
              <w:rPr>
                <w:i/>
                <w:sz w:val="20"/>
                <w:szCs w:val="20"/>
              </w:rPr>
              <w:t xml:space="preserve"> </w:t>
            </w:r>
            <w:proofErr w:type="spellStart"/>
            <w:r w:rsidRPr="00C92C09">
              <w:rPr>
                <w:i/>
                <w:sz w:val="20"/>
                <w:szCs w:val="20"/>
              </w:rPr>
              <w:t>Ekintza</w:t>
            </w:r>
            <w:proofErr w:type="spellEnd"/>
          </w:p>
        </w:tc>
        <w:tc>
          <w:tcPr>
            <w:tcW w:w="1251" w:type="dxa"/>
          </w:tcPr>
          <w:p w:rsidR="0021746F" w:rsidRPr="00C92C09" w:rsidRDefault="0021746F" w:rsidP="00C92C09">
            <w:pPr>
              <w:autoSpaceDE w:val="0"/>
              <w:autoSpaceDN w:val="0"/>
              <w:adjustRightInd w:val="0"/>
              <w:spacing w:line="240" w:lineRule="auto"/>
              <w:rPr>
                <w:sz w:val="20"/>
                <w:szCs w:val="20"/>
              </w:rPr>
            </w:pPr>
            <w:r w:rsidRPr="00C92C09">
              <w:rPr>
                <w:sz w:val="20"/>
                <w:szCs w:val="20"/>
              </w:rPr>
              <w:t>2007</w:t>
            </w:r>
          </w:p>
        </w:tc>
        <w:tc>
          <w:tcPr>
            <w:tcW w:w="2474" w:type="dxa"/>
          </w:tcPr>
          <w:p w:rsidR="0021746F" w:rsidRPr="00C92C09" w:rsidRDefault="0021746F" w:rsidP="00C92C09">
            <w:pPr>
              <w:autoSpaceDE w:val="0"/>
              <w:autoSpaceDN w:val="0"/>
              <w:adjustRightInd w:val="0"/>
              <w:spacing w:line="240" w:lineRule="auto"/>
              <w:rPr>
                <w:sz w:val="20"/>
                <w:szCs w:val="20"/>
                <w:highlight w:val="yellow"/>
              </w:rPr>
            </w:pPr>
            <w:r w:rsidRPr="00C92C09">
              <w:rPr>
                <w:sz w:val="20"/>
                <w:szCs w:val="20"/>
              </w:rPr>
              <w:t xml:space="preserve">Disqualification of party </w:t>
            </w:r>
            <w:r>
              <w:rPr>
                <w:sz w:val="20"/>
                <w:szCs w:val="20"/>
              </w:rPr>
              <w:t>l</w:t>
            </w:r>
            <w:r w:rsidRPr="00C92C09">
              <w:rPr>
                <w:sz w:val="20"/>
                <w:szCs w:val="20"/>
              </w:rPr>
              <w:t xml:space="preserve">ists </w:t>
            </w:r>
          </w:p>
        </w:tc>
        <w:tc>
          <w:tcPr>
            <w:tcW w:w="2434" w:type="dxa"/>
          </w:tcPr>
          <w:p w:rsidR="0021746F" w:rsidRPr="00C92C09" w:rsidRDefault="0021746F" w:rsidP="00C92C09">
            <w:pPr>
              <w:autoSpaceDE w:val="0"/>
              <w:autoSpaceDN w:val="0"/>
              <w:adjustRightInd w:val="0"/>
              <w:spacing w:line="240" w:lineRule="auto"/>
              <w:rPr>
                <w:i/>
                <w:sz w:val="20"/>
                <w:szCs w:val="20"/>
              </w:rPr>
            </w:pPr>
            <w:proofErr w:type="spellStart"/>
            <w:r w:rsidRPr="00C92C09">
              <w:rPr>
                <w:i/>
                <w:sz w:val="20"/>
                <w:szCs w:val="20"/>
              </w:rPr>
              <w:t>Batasuna</w:t>
            </w:r>
            <w:proofErr w:type="spellEnd"/>
            <w:r w:rsidRPr="00C92C09">
              <w:rPr>
                <w:sz w:val="20"/>
                <w:szCs w:val="20"/>
              </w:rPr>
              <w:t xml:space="preserve"> successor</w:t>
            </w:r>
          </w:p>
        </w:tc>
      </w:tr>
      <w:tr w:rsidR="0021746F" w:rsidTr="00EB6D51">
        <w:tc>
          <w:tcPr>
            <w:tcW w:w="2363" w:type="dxa"/>
          </w:tcPr>
          <w:p w:rsidR="0021746F" w:rsidRPr="00C92C09" w:rsidRDefault="0021746F" w:rsidP="00C92C09">
            <w:pPr>
              <w:autoSpaceDE w:val="0"/>
              <w:autoSpaceDN w:val="0"/>
              <w:adjustRightInd w:val="0"/>
              <w:spacing w:line="240" w:lineRule="auto"/>
              <w:rPr>
                <w:sz w:val="20"/>
                <w:szCs w:val="20"/>
                <w:highlight w:val="yellow"/>
              </w:rPr>
            </w:pPr>
            <w:proofErr w:type="spellStart"/>
            <w:r w:rsidRPr="00C92C09">
              <w:rPr>
                <w:i/>
                <w:sz w:val="20"/>
                <w:szCs w:val="20"/>
              </w:rPr>
              <w:t>Abertzale</w:t>
            </w:r>
            <w:proofErr w:type="spellEnd"/>
            <w:r w:rsidRPr="00C92C09">
              <w:rPr>
                <w:i/>
                <w:sz w:val="20"/>
                <w:szCs w:val="20"/>
              </w:rPr>
              <w:t xml:space="preserve"> </w:t>
            </w:r>
            <w:proofErr w:type="spellStart"/>
            <w:r w:rsidRPr="00C92C09">
              <w:rPr>
                <w:i/>
                <w:sz w:val="20"/>
                <w:szCs w:val="20"/>
              </w:rPr>
              <w:t>Sozialistak</w:t>
            </w:r>
            <w:proofErr w:type="spellEnd"/>
          </w:p>
        </w:tc>
        <w:tc>
          <w:tcPr>
            <w:tcW w:w="1251" w:type="dxa"/>
          </w:tcPr>
          <w:p w:rsidR="0021746F" w:rsidRPr="00C92C09" w:rsidRDefault="0021746F" w:rsidP="00C92C09">
            <w:pPr>
              <w:autoSpaceDE w:val="0"/>
              <w:autoSpaceDN w:val="0"/>
              <w:adjustRightInd w:val="0"/>
              <w:spacing w:line="240" w:lineRule="auto"/>
              <w:rPr>
                <w:sz w:val="20"/>
                <w:szCs w:val="20"/>
                <w:highlight w:val="yellow"/>
              </w:rPr>
            </w:pPr>
            <w:r w:rsidRPr="00C92C09">
              <w:rPr>
                <w:sz w:val="20"/>
                <w:szCs w:val="20"/>
              </w:rPr>
              <w:t>2007</w:t>
            </w:r>
          </w:p>
        </w:tc>
        <w:tc>
          <w:tcPr>
            <w:tcW w:w="2474" w:type="dxa"/>
          </w:tcPr>
          <w:p w:rsidR="0021746F" w:rsidRPr="00C92C09" w:rsidRDefault="0021746F" w:rsidP="00C92C09">
            <w:pPr>
              <w:autoSpaceDE w:val="0"/>
              <w:autoSpaceDN w:val="0"/>
              <w:adjustRightInd w:val="0"/>
              <w:spacing w:line="240" w:lineRule="auto"/>
              <w:rPr>
                <w:sz w:val="20"/>
                <w:szCs w:val="20"/>
              </w:rPr>
            </w:pPr>
            <w:r w:rsidRPr="00C92C09">
              <w:rPr>
                <w:sz w:val="20"/>
                <w:szCs w:val="20"/>
              </w:rPr>
              <w:t>Disqualification of electoral grouping lists</w:t>
            </w:r>
            <w:r>
              <w:rPr>
                <w:sz w:val="20"/>
                <w:szCs w:val="20"/>
              </w:rPr>
              <w:t xml:space="preserve"> </w:t>
            </w:r>
          </w:p>
        </w:tc>
        <w:tc>
          <w:tcPr>
            <w:tcW w:w="2434" w:type="dxa"/>
          </w:tcPr>
          <w:p w:rsidR="0021746F" w:rsidRPr="00C92C09" w:rsidRDefault="0021746F" w:rsidP="00C92C09">
            <w:pPr>
              <w:autoSpaceDE w:val="0"/>
              <w:autoSpaceDN w:val="0"/>
              <w:adjustRightInd w:val="0"/>
              <w:spacing w:line="240" w:lineRule="auto"/>
              <w:rPr>
                <w:sz w:val="20"/>
                <w:szCs w:val="20"/>
              </w:rPr>
            </w:pPr>
            <w:proofErr w:type="spellStart"/>
            <w:r w:rsidRPr="00C92C09">
              <w:rPr>
                <w:i/>
                <w:sz w:val="20"/>
                <w:szCs w:val="20"/>
              </w:rPr>
              <w:t>Batasuna</w:t>
            </w:r>
            <w:proofErr w:type="spellEnd"/>
            <w:r w:rsidRPr="00C92C09">
              <w:rPr>
                <w:i/>
                <w:sz w:val="20"/>
                <w:szCs w:val="20"/>
              </w:rPr>
              <w:t xml:space="preserve"> </w:t>
            </w:r>
            <w:r w:rsidRPr="00C92C09">
              <w:rPr>
                <w:sz w:val="20"/>
                <w:szCs w:val="20"/>
              </w:rPr>
              <w:t>successor</w:t>
            </w:r>
          </w:p>
        </w:tc>
      </w:tr>
      <w:tr w:rsidR="0021746F" w:rsidTr="00EB6D51">
        <w:tc>
          <w:tcPr>
            <w:tcW w:w="2363" w:type="dxa"/>
          </w:tcPr>
          <w:p w:rsidR="0021746F" w:rsidRPr="00C92C09" w:rsidRDefault="0021746F" w:rsidP="00C92C09">
            <w:pPr>
              <w:autoSpaceDE w:val="0"/>
              <w:autoSpaceDN w:val="0"/>
              <w:adjustRightInd w:val="0"/>
              <w:spacing w:line="240" w:lineRule="auto"/>
              <w:rPr>
                <w:sz w:val="20"/>
                <w:szCs w:val="20"/>
              </w:rPr>
            </w:pPr>
            <w:proofErr w:type="spellStart"/>
            <w:r w:rsidRPr="00C92C09">
              <w:rPr>
                <w:i/>
                <w:sz w:val="20"/>
                <w:szCs w:val="20"/>
              </w:rPr>
              <w:t>Eusko</w:t>
            </w:r>
            <w:proofErr w:type="spellEnd"/>
            <w:r w:rsidRPr="00C92C09">
              <w:rPr>
                <w:i/>
                <w:sz w:val="20"/>
                <w:szCs w:val="20"/>
              </w:rPr>
              <w:t xml:space="preserve"> </w:t>
            </w:r>
            <w:proofErr w:type="spellStart"/>
            <w:r w:rsidRPr="00C92C09">
              <w:rPr>
                <w:i/>
                <w:sz w:val="20"/>
                <w:szCs w:val="20"/>
              </w:rPr>
              <w:t>Abertzale</w:t>
            </w:r>
            <w:proofErr w:type="spellEnd"/>
            <w:r w:rsidRPr="00C92C09">
              <w:rPr>
                <w:i/>
                <w:sz w:val="20"/>
                <w:szCs w:val="20"/>
              </w:rPr>
              <w:t xml:space="preserve"> </w:t>
            </w:r>
            <w:proofErr w:type="spellStart"/>
            <w:r w:rsidRPr="00C92C09">
              <w:rPr>
                <w:i/>
                <w:sz w:val="20"/>
                <w:szCs w:val="20"/>
              </w:rPr>
              <w:t>Ekintza</w:t>
            </w:r>
            <w:proofErr w:type="spellEnd"/>
          </w:p>
        </w:tc>
        <w:tc>
          <w:tcPr>
            <w:tcW w:w="1251" w:type="dxa"/>
          </w:tcPr>
          <w:p w:rsidR="0021746F" w:rsidRPr="00C92C09" w:rsidRDefault="0021746F" w:rsidP="00C92C09">
            <w:pPr>
              <w:autoSpaceDE w:val="0"/>
              <w:autoSpaceDN w:val="0"/>
              <w:adjustRightInd w:val="0"/>
              <w:spacing w:line="240" w:lineRule="auto"/>
              <w:rPr>
                <w:sz w:val="20"/>
                <w:szCs w:val="20"/>
              </w:rPr>
            </w:pPr>
            <w:r w:rsidRPr="00C92C09">
              <w:rPr>
                <w:sz w:val="20"/>
                <w:szCs w:val="20"/>
              </w:rPr>
              <w:t>2008</w:t>
            </w:r>
          </w:p>
        </w:tc>
        <w:tc>
          <w:tcPr>
            <w:tcW w:w="2474" w:type="dxa"/>
          </w:tcPr>
          <w:p w:rsidR="0021746F" w:rsidRPr="00C92C09" w:rsidRDefault="0021746F" w:rsidP="00C92C09">
            <w:pPr>
              <w:autoSpaceDE w:val="0"/>
              <w:autoSpaceDN w:val="0"/>
              <w:adjustRightInd w:val="0"/>
              <w:spacing w:line="240" w:lineRule="auto"/>
              <w:rPr>
                <w:sz w:val="20"/>
                <w:szCs w:val="20"/>
              </w:rPr>
            </w:pPr>
            <w:r w:rsidRPr="00C92C09">
              <w:rPr>
                <w:sz w:val="20"/>
                <w:szCs w:val="20"/>
              </w:rPr>
              <w:t>Party declared illegal and dissolved</w:t>
            </w:r>
          </w:p>
        </w:tc>
        <w:tc>
          <w:tcPr>
            <w:tcW w:w="2434" w:type="dxa"/>
          </w:tcPr>
          <w:p w:rsidR="0021746F" w:rsidRPr="00C92C09" w:rsidRDefault="0021746F" w:rsidP="00C92C09">
            <w:pPr>
              <w:autoSpaceDE w:val="0"/>
              <w:autoSpaceDN w:val="0"/>
              <w:adjustRightInd w:val="0"/>
              <w:spacing w:line="240" w:lineRule="auto"/>
              <w:rPr>
                <w:i/>
                <w:sz w:val="20"/>
                <w:szCs w:val="20"/>
              </w:rPr>
            </w:pPr>
            <w:proofErr w:type="spellStart"/>
            <w:r w:rsidRPr="00C92C09">
              <w:rPr>
                <w:i/>
                <w:sz w:val="20"/>
                <w:szCs w:val="20"/>
              </w:rPr>
              <w:t>Batasuna</w:t>
            </w:r>
            <w:proofErr w:type="spellEnd"/>
            <w:r w:rsidRPr="00C92C09">
              <w:rPr>
                <w:i/>
                <w:sz w:val="20"/>
                <w:szCs w:val="20"/>
              </w:rPr>
              <w:t xml:space="preserve"> </w:t>
            </w:r>
            <w:r w:rsidRPr="00C92C09">
              <w:rPr>
                <w:sz w:val="20"/>
                <w:szCs w:val="20"/>
              </w:rPr>
              <w:t>successor</w:t>
            </w:r>
          </w:p>
        </w:tc>
      </w:tr>
      <w:tr w:rsidR="0021746F" w:rsidTr="00EB6D51">
        <w:tc>
          <w:tcPr>
            <w:tcW w:w="2363" w:type="dxa"/>
          </w:tcPr>
          <w:p w:rsidR="0021746F" w:rsidRPr="00C92C09" w:rsidRDefault="0021746F" w:rsidP="00C92C09">
            <w:pPr>
              <w:autoSpaceDE w:val="0"/>
              <w:autoSpaceDN w:val="0"/>
              <w:adjustRightInd w:val="0"/>
              <w:spacing w:line="240" w:lineRule="auto"/>
              <w:rPr>
                <w:sz w:val="20"/>
                <w:szCs w:val="20"/>
                <w:lang w:val="es-ES"/>
              </w:rPr>
            </w:pPr>
            <w:proofErr w:type="spellStart"/>
            <w:r w:rsidRPr="00C92C09">
              <w:rPr>
                <w:i/>
                <w:iCs/>
                <w:sz w:val="20"/>
                <w:szCs w:val="20"/>
              </w:rPr>
              <w:t>Euskal</w:t>
            </w:r>
            <w:proofErr w:type="spellEnd"/>
            <w:r w:rsidRPr="00C92C09">
              <w:rPr>
                <w:i/>
                <w:iCs/>
                <w:sz w:val="20"/>
                <w:szCs w:val="20"/>
              </w:rPr>
              <w:t xml:space="preserve"> </w:t>
            </w:r>
            <w:proofErr w:type="spellStart"/>
            <w:r w:rsidRPr="00C92C09">
              <w:rPr>
                <w:i/>
                <w:iCs/>
                <w:sz w:val="20"/>
                <w:szCs w:val="20"/>
              </w:rPr>
              <w:t>Herrialdeetako</w:t>
            </w:r>
            <w:proofErr w:type="spellEnd"/>
            <w:r w:rsidRPr="00C92C09">
              <w:rPr>
                <w:i/>
                <w:iCs/>
                <w:sz w:val="20"/>
                <w:szCs w:val="20"/>
              </w:rPr>
              <w:t xml:space="preserve"> </w:t>
            </w:r>
            <w:proofErr w:type="spellStart"/>
            <w:r w:rsidRPr="00C92C09">
              <w:rPr>
                <w:i/>
                <w:iCs/>
                <w:sz w:val="20"/>
                <w:szCs w:val="20"/>
              </w:rPr>
              <w:t>Alderdi</w:t>
            </w:r>
            <w:proofErr w:type="spellEnd"/>
            <w:r w:rsidRPr="00C92C09">
              <w:rPr>
                <w:i/>
                <w:iCs/>
                <w:sz w:val="20"/>
                <w:szCs w:val="20"/>
              </w:rPr>
              <w:t xml:space="preserve"> </w:t>
            </w:r>
            <w:proofErr w:type="spellStart"/>
            <w:r w:rsidRPr="00C92C09">
              <w:rPr>
                <w:i/>
                <w:iCs/>
                <w:sz w:val="20"/>
                <w:szCs w:val="20"/>
              </w:rPr>
              <w:t>Komunista</w:t>
            </w:r>
            <w:proofErr w:type="spellEnd"/>
          </w:p>
        </w:tc>
        <w:tc>
          <w:tcPr>
            <w:tcW w:w="1251" w:type="dxa"/>
          </w:tcPr>
          <w:p w:rsidR="0021746F" w:rsidRPr="00C92C09" w:rsidRDefault="0021746F" w:rsidP="00C92C09">
            <w:pPr>
              <w:autoSpaceDE w:val="0"/>
              <w:autoSpaceDN w:val="0"/>
              <w:adjustRightInd w:val="0"/>
              <w:spacing w:line="240" w:lineRule="auto"/>
              <w:rPr>
                <w:sz w:val="20"/>
                <w:szCs w:val="20"/>
              </w:rPr>
            </w:pPr>
            <w:r w:rsidRPr="00C92C09">
              <w:rPr>
                <w:sz w:val="20"/>
                <w:szCs w:val="20"/>
              </w:rPr>
              <w:t>2008</w:t>
            </w:r>
          </w:p>
        </w:tc>
        <w:tc>
          <w:tcPr>
            <w:tcW w:w="2474" w:type="dxa"/>
          </w:tcPr>
          <w:p w:rsidR="0021746F" w:rsidRPr="00C92C09" w:rsidRDefault="0021746F" w:rsidP="00C92C09">
            <w:pPr>
              <w:autoSpaceDE w:val="0"/>
              <w:autoSpaceDN w:val="0"/>
              <w:adjustRightInd w:val="0"/>
              <w:spacing w:line="240" w:lineRule="auto"/>
              <w:rPr>
                <w:sz w:val="20"/>
                <w:szCs w:val="20"/>
              </w:rPr>
            </w:pPr>
            <w:r w:rsidRPr="00C92C09">
              <w:rPr>
                <w:sz w:val="20"/>
                <w:szCs w:val="20"/>
              </w:rPr>
              <w:t>Party declared illegal and dissolved</w:t>
            </w:r>
          </w:p>
        </w:tc>
        <w:tc>
          <w:tcPr>
            <w:tcW w:w="2434" w:type="dxa"/>
          </w:tcPr>
          <w:p w:rsidR="0021746F" w:rsidRPr="00C92C09" w:rsidRDefault="0021746F" w:rsidP="00C92C09">
            <w:pPr>
              <w:autoSpaceDE w:val="0"/>
              <w:autoSpaceDN w:val="0"/>
              <w:adjustRightInd w:val="0"/>
              <w:spacing w:line="240" w:lineRule="auto"/>
              <w:rPr>
                <w:sz w:val="20"/>
                <w:szCs w:val="20"/>
              </w:rPr>
            </w:pPr>
            <w:proofErr w:type="spellStart"/>
            <w:r w:rsidRPr="00C92C09">
              <w:rPr>
                <w:i/>
                <w:sz w:val="20"/>
                <w:szCs w:val="20"/>
              </w:rPr>
              <w:t>Batasuna</w:t>
            </w:r>
            <w:proofErr w:type="spellEnd"/>
            <w:r w:rsidRPr="00C92C09">
              <w:rPr>
                <w:i/>
                <w:sz w:val="20"/>
                <w:szCs w:val="20"/>
              </w:rPr>
              <w:t xml:space="preserve"> </w:t>
            </w:r>
            <w:r w:rsidRPr="00C92C09">
              <w:rPr>
                <w:sz w:val="20"/>
                <w:szCs w:val="20"/>
              </w:rPr>
              <w:t xml:space="preserve">successor </w:t>
            </w:r>
          </w:p>
        </w:tc>
      </w:tr>
      <w:tr w:rsidR="0021746F" w:rsidTr="00EB6D51">
        <w:tc>
          <w:tcPr>
            <w:tcW w:w="2363" w:type="dxa"/>
          </w:tcPr>
          <w:p w:rsidR="0021746F" w:rsidRPr="00C92C09" w:rsidRDefault="0021746F" w:rsidP="00C92C09">
            <w:pPr>
              <w:autoSpaceDE w:val="0"/>
              <w:autoSpaceDN w:val="0"/>
              <w:adjustRightInd w:val="0"/>
              <w:spacing w:line="240" w:lineRule="auto"/>
              <w:rPr>
                <w:sz w:val="20"/>
                <w:szCs w:val="20"/>
              </w:rPr>
            </w:pPr>
            <w:proofErr w:type="spellStart"/>
            <w:r w:rsidRPr="00C92C09">
              <w:rPr>
                <w:i/>
                <w:sz w:val="20"/>
                <w:szCs w:val="20"/>
              </w:rPr>
              <w:t>Askatasuna</w:t>
            </w:r>
            <w:proofErr w:type="spellEnd"/>
          </w:p>
        </w:tc>
        <w:tc>
          <w:tcPr>
            <w:tcW w:w="1251" w:type="dxa"/>
          </w:tcPr>
          <w:p w:rsidR="0021746F" w:rsidRPr="00C92C09" w:rsidRDefault="0021746F" w:rsidP="00C92C09">
            <w:pPr>
              <w:autoSpaceDE w:val="0"/>
              <w:autoSpaceDN w:val="0"/>
              <w:adjustRightInd w:val="0"/>
              <w:spacing w:line="240" w:lineRule="auto"/>
              <w:rPr>
                <w:sz w:val="20"/>
                <w:szCs w:val="20"/>
              </w:rPr>
            </w:pPr>
            <w:r w:rsidRPr="00C92C09">
              <w:rPr>
                <w:sz w:val="20"/>
                <w:szCs w:val="20"/>
              </w:rPr>
              <w:t>2009</w:t>
            </w:r>
          </w:p>
        </w:tc>
        <w:tc>
          <w:tcPr>
            <w:tcW w:w="2474" w:type="dxa"/>
          </w:tcPr>
          <w:p w:rsidR="0021746F" w:rsidRPr="00C92C09" w:rsidRDefault="0021746F" w:rsidP="00C92C09">
            <w:pPr>
              <w:autoSpaceDE w:val="0"/>
              <w:autoSpaceDN w:val="0"/>
              <w:adjustRightInd w:val="0"/>
              <w:spacing w:line="240" w:lineRule="auto"/>
              <w:rPr>
                <w:sz w:val="20"/>
                <w:szCs w:val="20"/>
              </w:rPr>
            </w:pPr>
            <w:r w:rsidRPr="00C92C09">
              <w:rPr>
                <w:sz w:val="20"/>
                <w:szCs w:val="20"/>
              </w:rPr>
              <w:t>Disqualification of party lists</w:t>
            </w:r>
          </w:p>
        </w:tc>
        <w:tc>
          <w:tcPr>
            <w:tcW w:w="2434" w:type="dxa"/>
          </w:tcPr>
          <w:p w:rsidR="0021746F" w:rsidRPr="00C92C09" w:rsidRDefault="0021746F" w:rsidP="00C92C09">
            <w:pPr>
              <w:autoSpaceDE w:val="0"/>
              <w:autoSpaceDN w:val="0"/>
              <w:adjustRightInd w:val="0"/>
              <w:spacing w:line="240" w:lineRule="auto"/>
              <w:rPr>
                <w:i/>
                <w:sz w:val="20"/>
                <w:szCs w:val="20"/>
              </w:rPr>
            </w:pPr>
            <w:proofErr w:type="spellStart"/>
            <w:r w:rsidRPr="00C92C09">
              <w:rPr>
                <w:i/>
                <w:sz w:val="20"/>
                <w:szCs w:val="20"/>
              </w:rPr>
              <w:t>Batasuna</w:t>
            </w:r>
            <w:proofErr w:type="spellEnd"/>
            <w:r w:rsidRPr="00C92C09">
              <w:rPr>
                <w:i/>
                <w:sz w:val="20"/>
                <w:szCs w:val="20"/>
              </w:rPr>
              <w:t xml:space="preserve"> </w:t>
            </w:r>
            <w:r w:rsidRPr="00C92C09">
              <w:rPr>
                <w:sz w:val="20"/>
                <w:szCs w:val="20"/>
              </w:rPr>
              <w:t>successor</w:t>
            </w:r>
          </w:p>
        </w:tc>
      </w:tr>
      <w:tr w:rsidR="0021746F" w:rsidTr="00EB6D51">
        <w:tc>
          <w:tcPr>
            <w:tcW w:w="2363" w:type="dxa"/>
          </w:tcPr>
          <w:p w:rsidR="0021746F" w:rsidRPr="00C92C09" w:rsidRDefault="0021746F" w:rsidP="00C92C09">
            <w:pPr>
              <w:autoSpaceDE w:val="0"/>
              <w:autoSpaceDN w:val="0"/>
              <w:adjustRightInd w:val="0"/>
              <w:spacing w:line="240" w:lineRule="auto"/>
              <w:rPr>
                <w:sz w:val="20"/>
                <w:szCs w:val="20"/>
              </w:rPr>
            </w:pPr>
            <w:proofErr w:type="spellStart"/>
            <w:r w:rsidRPr="00C92C09">
              <w:rPr>
                <w:bCs/>
                <w:i/>
                <w:sz w:val="20"/>
                <w:szCs w:val="20"/>
              </w:rPr>
              <w:t>Demokrazia</w:t>
            </w:r>
            <w:proofErr w:type="spellEnd"/>
            <w:r w:rsidRPr="00C92C09">
              <w:rPr>
                <w:bCs/>
                <w:i/>
                <w:sz w:val="20"/>
                <w:szCs w:val="20"/>
              </w:rPr>
              <w:t xml:space="preserve"> </w:t>
            </w:r>
            <w:proofErr w:type="spellStart"/>
            <w:r w:rsidRPr="00C92C09">
              <w:rPr>
                <w:bCs/>
                <w:i/>
                <w:sz w:val="20"/>
                <w:szCs w:val="20"/>
              </w:rPr>
              <w:t>Hiru</w:t>
            </w:r>
            <w:proofErr w:type="spellEnd"/>
            <w:r w:rsidRPr="00C92C09">
              <w:rPr>
                <w:bCs/>
                <w:i/>
                <w:sz w:val="20"/>
                <w:szCs w:val="20"/>
              </w:rPr>
              <w:t xml:space="preserve"> </w:t>
            </w:r>
            <w:proofErr w:type="spellStart"/>
            <w:r w:rsidRPr="00C92C09">
              <w:rPr>
                <w:bCs/>
                <w:i/>
                <w:sz w:val="20"/>
                <w:szCs w:val="20"/>
              </w:rPr>
              <w:t>Milioi</w:t>
            </w:r>
            <w:proofErr w:type="spellEnd"/>
          </w:p>
        </w:tc>
        <w:tc>
          <w:tcPr>
            <w:tcW w:w="1251" w:type="dxa"/>
          </w:tcPr>
          <w:p w:rsidR="0021746F" w:rsidRPr="00C92C09" w:rsidRDefault="0021746F" w:rsidP="00C92C09">
            <w:pPr>
              <w:autoSpaceDE w:val="0"/>
              <w:autoSpaceDN w:val="0"/>
              <w:adjustRightInd w:val="0"/>
              <w:spacing w:line="240" w:lineRule="auto"/>
              <w:rPr>
                <w:sz w:val="20"/>
                <w:szCs w:val="20"/>
              </w:rPr>
            </w:pPr>
            <w:r w:rsidRPr="00C92C09">
              <w:rPr>
                <w:sz w:val="20"/>
                <w:szCs w:val="20"/>
              </w:rPr>
              <w:t>2009</w:t>
            </w:r>
          </w:p>
        </w:tc>
        <w:tc>
          <w:tcPr>
            <w:tcW w:w="2474" w:type="dxa"/>
          </w:tcPr>
          <w:p w:rsidR="0021746F" w:rsidRPr="00C92C09" w:rsidRDefault="0021746F" w:rsidP="00C92C09">
            <w:pPr>
              <w:autoSpaceDE w:val="0"/>
              <w:autoSpaceDN w:val="0"/>
              <w:adjustRightInd w:val="0"/>
              <w:spacing w:line="240" w:lineRule="auto"/>
              <w:rPr>
                <w:sz w:val="20"/>
                <w:szCs w:val="20"/>
              </w:rPr>
            </w:pPr>
            <w:r w:rsidRPr="00C92C09">
              <w:rPr>
                <w:sz w:val="20"/>
                <w:szCs w:val="20"/>
              </w:rPr>
              <w:t>Disqualification of electoral grouping lists</w:t>
            </w:r>
            <w:r>
              <w:rPr>
                <w:sz w:val="20"/>
                <w:szCs w:val="20"/>
              </w:rPr>
              <w:t xml:space="preserve"> </w:t>
            </w:r>
          </w:p>
        </w:tc>
        <w:tc>
          <w:tcPr>
            <w:tcW w:w="2434" w:type="dxa"/>
          </w:tcPr>
          <w:p w:rsidR="0021746F" w:rsidRPr="00C92C09" w:rsidRDefault="0021746F" w:rsidP="00C92C09">
            <w:pPr>
              <w:autoSpaceDE w:val="0"/>
              <w:autoSpaceDN w:val="0"/>
              <w:adjustRightInd w:val="0"/>
              <w:spacing w:line="240" w:lineRule="auto"/>
              <w:rPr>
                <w:sz w:val="20"/>
                <w:szCs w:val="20"/>
              </w:rPr>
            </w:pPr>
            <w:proofErr w:type="spellStart"/>
            <w:r w:rsidRPr="00C92C09">
              <w:rPr>
                <w:i/>
                <w:sz w:val="20"/>
                <w:szCs w:val="20"/>
              </w:rPr>
              <w:t>Batasuna</w:t>
            </w:r>
            <w:proofErr w:type="spellEnd"/>
            <w:r w:rsidRPr="00C92C09">
              <w:rPr>
                <w:i/>
                <w:sz w:val="20"/>
                <w:szCs w:val="20"/>
              </w:rPr>
              <w:t xml:space="preserve"> </w:t>
            </w:r>
            <w:r w:rsidRPr="00C92C09">
              <w:rPr>
                <w:sz w:val="20"/>
                <w:szCs w:val="20"/>
              </w:rPr>
              <w:t xml:space="preserve">successor </w:t>
            </w:r>
          </w:p>
        </w:tc>
      </w:tr>
      <w:tr w:rsidR="0021746F" w:rsidTr="00EB6D51">
        <w:tc>
          <w:tcPr>
            <w:tcW w:w="2363" w:type="dxa"/>
          </w:tcPr>
          <w:p w:rsidR="0021746F" w:rsidRPr="00C92C09" w:rsidRDefault="0021746F" w:rsidP="00C92C09">
            <w:pPr>
              <w:autoSpaceDE w:val="0"/>
              <w:autoSpaceDN w:val="0"/>
              <w:adjustRightInd w:val="0"/>
              <w:spacing w:line="240" w:lineRule="auto"/>
              <w:rPr>
                <w:i/>
                <w:sz w:val="20"/>
                <w:szCs w:val="20"/>
                <w:lang w:val="es-ES"/>
              </w:rPr>
            </w:pPr>
            <w:proofErr w:type="spellStart"/>
            <w:r w:rsidRPr="00C92C09">
              <w:rPr>
                <w:i/>
                <w:iCs/>
                <w:sz w:val="20"/>
                <w:szCs w:val="20"/>
              </w:rPr>
              <w:t>Iniziatiba</w:t>
            </w:r>
            <w:proofErr w:type="spellEnd"/>
            <w:r w:rsidRPr="00C92C09">
              <w:rPr>
                <w:i/>
                <w:iCs/>
                <w:sz w:val="20"/>
                <w:szCs w:val="20"/>
              </w:rPr>
              <w:t xml:space="preserve"> </w:t>
            </w:r>
            <w:proofErr w:type="spellStart"/>
            <w:r w:rsidRPr="00C92C09">
              <w:rPr>
                <w:i/>
                <w:iCs/>
                <w:sz w:val="20"/>
                <w:szCs w:val="20"/>
              </w:rPr>
              <w:t>Internazionalista</w:t>
            </w:r>
            <w:proofErr w:type="spellEnd"/>
            <w:r w:rsidRPr="00C92C09">
              <w:rPr>
                <w:i/>
                <w:iCs/>
                <w:sz w:val="20"/>
                <w:szCs w:val="20"/>
              </w:rPr>
              <w:t xml:space="preserve"> - </w:t>
            </w:r>
            <w:proofErr w:type="spellStart"/>
            <w:r w:rsidRPr="00C92C09">
              <w:rPr>
                <w:i/>
                <w:iCs/>
                <w:sz w:val="20"/>
                <w:szCs w:val="20"/>
              </w:rPr>
              <w:t>Herrien</w:t>
            </w:r>
            <w:proofErr w:type="spellEnd"/>
            <w:r w:rsidRPr="00C92C09">
              <w:rPr>
                <w:i/>
                <w:iCs/>
                <w:sz w:val="20"/>
                <w:szCs w:val="20"/>
              </w:rPr>
              <w:t xml:space="preserve"> </w:t>
            </w:r>
            <w:proofErr w:type="spellStart"/>
            <w:r w:rsidRPr="00C92C09">
              <w:rPr>
                <w:i/>
                <w:iCs/>
                <w:sz w:val="20"/>
                <w:szCs w:val="20"/>
              </w:rPr>
              <w:t>Elkartasuna</w:t>
            </w:r>
            <w:proofErr w:type="spellEnd"/>
          </w:p>
        </w:tc>
        <w:tc>
          <w:tcPr>
            <w:tcW w:w="1251" w:type="dxa"/>
          </w:tcPr>
          <w:p w:rsidR="0021746F" w:rsidRPr="00C92C09" w:rsidRDefault="0021746F" w:rsidP="00C92C09">
            <w:pPr>
              <w:autoSpaceDE w:val="0"/>
              <w:autoSpaceDN w:val="0"/>
              <w:adjustRightInd w:val="0"/>
              <w:spacing w:line="240" w:lineRule="auto"/>
              <w:rPr>
                <w:sz w:val="20"/>
                <w:szCs w:val="20"/>
              </w:rPr>
            </w:pPr>
            <w:r w:rsidRPr="00C92C09">
              <w:rPr>
                <w:sz w:val="20"/>
                <w:szCs w:val="20"/>
              </w:rPr>
              <w:t>2009</w:t>
            </w:r>
          </w:p>
        </w:tc>
        <w:tc>
          <w:tcPr>
            <w:tcW w:w="2474" w:type="dxa"/>
          </w:tcPr>
          <w:p w:rsidR="0021746F" w:rsidRPr="00C92C09" w:rsidRDefault="0021746F" w:rsidP="00C92C09">
            <w:pPr>
              <w:autoSpaceDE w:val="0"/>
              <w:autoSpaceDN w:val="0"/>
              <w:adjustRightInd w:val="0"/>
              <w:spacing w:line="240" w:lineRule="auto"/>
              <w:rPr>
                <w:sz w:val="20"/>
                <w:szCs w:val="20"/>
              </w:rPr>
            </w:pPr>
            <w:r w:rsidRPr="00C92C09">
              <w:rPr>
                <w:sz w:val="20"/>
                <w:szCs w:val="20"/>
              </w:rPr>
              <w:t>Disqualification of electoral coalition lists (overruled</w:t>
            </w:r>
            <w:r>
              <w:rPr>
                <w:sz w:val="20"/>
                <w:szCs w:val="20"/>
              </w:rPr>
              <w:t xml:space="preserve"> by Constitutional Court) </w:t>
            </w:r>
          </w:p>
        </w:tc>
        <w:tc>
          <w:tcPr>
            <w:tcW w:w="2434" w:type="dxa"/>
          </w:tcPr>
          <w:p w:rsidR="0021746F" w:rsidRPr="00C92C09" w:rsidRDefault="0021746F" w:rsidP="00C92C09">
            <w:pPr>
              <w:autoSpaceDE w:val="0"/>
              <w:autoSpaceDN w:val="0"/>
              <w:adjustRightInd w:val="0"/>
              <w:spacing w:line="240" w:lineRule="auto"/>
              <w:rPr>
                <w:i/>
                <w:sz w:val="20"/>
                <w:szCs w:val="20"/>
                <w:highlight w:val="yellow"/>
              </w:rPr>
            </w:pPr>
            <w:proofErr w:type="spellStart"/>
            <w:r w:rsidRPr="00C92C09">
              <w:rPr>
                <w:i/>
                <w:sz w:val="20"/>
                <w:szCs w:val="20"/>
              </w:rPr>
              <w:t>Batasuna</w:t>
            </w:r>
            <w:proofErr w:type="spellEnd"/>
            <w:r w:rsidRPr="00C92C09">
              <w:rPr>
                <w:i/>
                <w:sz w:val="20"/>
                <w:szCs w:val="20"/>
              </w:rPr>
              <w:t xml:space="preserve"> </w:t>
            </w:r>
            <w:r w:rsidRPr="00C92C09">
              <w:rPr>
                <w:sz w:val="20"/>
                <w:szCs w:val="20"/>
              </w:rPr>
              <w:t>successor</w:t>
            </w:r>
          </w:p>
        </w:tc>
      </w:tr>
      <w:tr w:rsidR="0021746F" w:rsidTr="00EB6D51">
        <w:tc>
          <w:tcPr>
            <w:tcW w:w="2363" w:type="dxa"/>
          </w:tcPr>
          <w:p w:rsidR="0021746F" w:rsidRPr="00C92C09" w:rsidRDefault="0021746F" w:rsidP="00C92C09">
            <w:pPr>
              <w:autoSpaceDE w:val="0"/>
              <w:autoSpaceDN w:val="0"/>
              <w:adjustRightInd w:val="0"/>
              <w:spacing w:line="240" w:lineRule="auto"/>
              <w:rPr>
                <w:i/>
                <w:sz w:val="20"/>
                <w:szCs w:val="20"/>
                <w:lang w:val="es-ES"/>
              </w:rPr>
            </w:pPr>
            <w:proofErr w:type="spellStart"/>
            <w:r w:rsidRPr="00C92C09">
              <w:rPr>
                <w:i/>
                <w:sz w:val="20"/>
                <w:szCs w:val="20"/>
                <w:lang w:val="es-ES"/>
              </w:rPr>
              <w:t>Sortu</w:t>
            </w:r>
            <w:proofErr w:type="spellEnd"/>
          </w:p>
        </w:tc>
        <w:tc>
          <w:tcPr>
            <w:tcW w:w="1251" w:type="dxa"/>
          </w:tcPr>
          <w:p w:rsidR="0021746F" w:rsidRPr="00C92C09" w:rsidRDefault="0021746F" w:rsidP="00C92C09">
            <w:pPr>
              <w:autoSpaceDE w:val="0"/>
              <w:autoSpaceDN w:val="0"/>
              <w:adjustRightInd w:val="0"/>
              <w:spacing w:line="240" w:lineRule="auto"/>
              <w:rPr>
                <w:sz w:val="20"/>
                <w:szCs w:val="20"/>
              </w:rPr>
            </w:pPr>
            <w:r w:rsidRPr="00C92C09">
              <w:rPr>
                <w:sz w:val="20"/>
                <w:szCs w:val="20"/>
              </w:rPr>
              <w:t>2011</w:t>
            </w:r>
          </w:p>
        </w:tc>
        <w:tc>
          <w:tcPr>
            <w:tcW w:w="2474" w:type="dxa"/>
          </w:tcPr>
          <w:p w:rsidR="0021746F" w:rsidRPr="00C92C09" w:rsidRDefault="0021746F" w:rsidP="00C92C09">
            <w:pPr>
              <w:autoSpaceDE w:val="0"/>
              <w:autoSpaceDN w:val="0"/>
              <w:adjustRightInd w:val="0"/>
              <w:spacing w:line="240" w:lineRule="auto"/>
              <w:rPr>
                <w:sz w:val="20"/>
                <w:szCs w:val="20"/>
              </w:rPr>
            </w:pPr>
            <w:r w:rsidRPr="00C92C09">
              <w:rPr>
                <w:sz w:val="20"/>
                <w:szCs w:val="20"/>
              </w:rPr>
              <w:t>Non-registration</w:t>
            </w:r>
            <w:r>
              <w:rPr>
                <w:sz w:val="20"/>
                <w:szCs w:val="20"/>
              </w:rPr>
              <w:t xml:space="preserve"> (overruled by Constitutional Court in 2012)</w:t>
            </w:r>
          </w:p>
        </w:tc>
        <w:tc>
          <w:tcPr>
            <w:tcW w:w="2434" w:type="dxa"/>
          </w:tcPr>
          <w:p w:rsidR="0021746F" w:rsidRPr="00C92C09" w:rsidRDefault="0021746F" w:rsidP="00C92C09">
            <w:pPr>
              <w:autoSpaceDE w:val="0"/>
              <w:autoSpaceDN w:val="0"/>
              <w:adjustRightInd w:val="0"/>
              <w:spacing w:line="240" w:lineRule="auto"/>
              <w:rPr>
                <w:sz w:val="20"/>
                <w:szCs w:val="20"/>
              </w:rPr>
            </w:pPr>
            <w:proofErr w:type="spellStart"/>
            <w:r w:rsidRPr="00C92C09">
              <w:rPr>
                <w:i/>
                <w:sz w:val="20"/>
                <w:szCs w:val="20"/>
              </w:rPr>
              <w:t>Batasuna</w:t>
            </w:r>
            <w:proofErr w:type="spellEnd"/>
            <w:r w:rsidRPr="00C92C09">
              <w:rPr>
                <w:i/>
                <w:sz w:val="20"/>
                <w:szCs w:val="20"/>
              </w:rPr>
              <w:t xml:space="preserve"> </w:t>
            </w:r>
            <w:r w:rsidRPr="00C92C09">
              <w:rPr>
                <w:sz w:val="20"/>
                <w:szCs w:val="20"/>
              </w:rPr>
              <w:t xml:space="preserve">successor </w:t>
            </w:r>
          </w:p>
        </w:tc>
      </w:tr>
      <w:tr w:rsidR="0021746F" w:rsidTr="00EB6D51">
        <w:tc>
          <w:tcPr>
            <w:tcW w:w="2363" w:type="dxa"/>
          </w:tcPr>
          <w:p w:rsidR="0021746F" w:rsidRPr="00C92C09" w:rsidRDefault="0021746F" w:rsidP="00C92C09">
            <w:pPr>
              <w:autoSpaceDE w:val="0"/>
              <w:autoSpaceDN w:val="0"/>
              <w:adjustRightInd w:val="0"/>
              <w:spacing w:line="240" w:lineRule="auto"/>
              <w:rPr>
                <w:i/>
                <w:sz w:val="20"/>
                <w:szCs w:val="20"/>
                <w:lang w:val="es-ES"/>
              </w:rPr>
            </w:pPr>
            <w:proofErr w:type="spellStart"/>
            <w:r w:rsidRPr="00C92C09">
              <w:rPr>
                <w:i/>
                <w:sz w:val="20"/>
                <w:szCs w:val="20"/>
                <w:lang w:val="es-ES"/>
              </w:rPr>
              <w:t>Bildu</w:t>
            </w:r>
            <w:proofErr w:type="spellEnd"/>
          </w:p>
        </w:tc>
        <w:tc>
          <w:tcPr>
            <w:tcW w:w="1251" w:type="dxa"/>
          </w:tcPr>
          <w:p w:rsidR="0021746F" w:rsidRPr="00C92C09" w:rsidRDefault="0021746F" w:rsidP="00C92C09">
            <w:pPr>
              <w:autoSpaceDE w:val="0"/>
              <w:autoSpaceDN w:val="0"/>
              <w:adjustRightInd w:val="0"/>
              <w:spacing w:line="240" w:lineRule="auto"/>
              <w:rPr>
                <w:sz w:val="20"/>
                <w:szCs w:val="20"/>
              </w:rPr>
            </w:pPr>
            <w:r w:rsidRPr="00C92C09">
              <w:rPr>
                <w:sz w:val="20"/>
                <w:szCs w:val="20"/>
              </w:rPr>
              <w:t>2011</w:t>
            </w:r>
          </w:p>
        </w:tc>
        <w:tc>
          <w:tcPr>
            <w:tcW w:w="2474" w:type="dxa"/>
          </w:tcPr>
          <w:p w:rsidR="0021746F" w:rsidRPr="00C92C09" w:rsidRDefault="0021746F" w:rsidP="00C92C09">
            <w:pPr>
              <w:autoSpaceDE w:val="0"/>
              <w:autoSpaceDN w:val="0"/>
              <w:adjustRightInd w:val="0"/>
              <w:spacing w:line="240" w:lineRule="auto"/>
              <w:rPr>
                <w:sz w:val="20"/>
                <w:szCs w:val="20"/>
              </w:rPr>
            </w:pPr>
            <w:r w:rsidRPr="00C92C09">
              <w:rPr>
                <w:sz w:val="20"/>
                <w:szCs w:val="20"/>
              </w:rPr>
              <w:t>Disqualification of electoral coalition lists (overruled by Constitutional Court)</w:t>
            </w:r>
          </w:p>
        </w:tc>
        <w:tc>
          <w:tcPr>
            <w:tcW w:w="2434" w:type="dxa"/>
          </w:tcPr>
          <w:p w:rsidR="0021746F" w:rsidRPr="00C92C09" w:rsidRDefault="0021746F" w:rsidP="00C92C09">
            <w:pPr>
              <w:autoSpaceDE w:val="0"/>
              <w:autoSpaceDN w:val="0"/>
              <w:adjustRightInd w:val="0"/>
              <w:spacing w:line="240" w:lineRule="auto"/>
              <w:rPr>
                <w:sz w:val="20"/>
                <w:szCs w:val="20"/>
              </w:rPr>
            </w:pPr>
            <w:proofErr w:type="spellStart"/>
            <w:r w:rsidRPr="00C92C09">
              <w:rPr>
                <w:i/>
                <w:sz w:val="20"/>
                <w:szCs w:val="20"/>
              </w:rPr>
              <w:t>Batasuna</w:t>
            </w:r>
            <w:proofErr w:type="spellEnd"/>
            <w:r w:rsidRPr="00C92C09">
              <w:rPr>
                <w:i/>
                <w:sz w:val="20"/>
                <w:szCs w:val="20"/>
              </w:rPr>
              <w:t xml:space="preserve"> </w:t>
            </w:r>
            <w:r w:rsidRPr="00C92C09">
              <w:rPr>
                <w:sz w:val="20"/>
                <w:szCs w:val="20"/>
              </w:rPr>
              <w:t>successor</w:t>
            </w:r>
          </w:p>
        </w:tc>
      </w:tr>
    </w:tbl>
    <w:p w:rsidR="0021746F" w:rsidRDefault="0021746F" w:rsidP="00D23B78">
      <w:pPr>
        <w:spacing w:after="0" w:line="360" w:lineRule="auto"/>
        <w:rPr>
          <w:rFonts w:ascii="Times New Roman" w:hAnsi="Times New Roman"/>
          <w:sz w:val="24"/>
          <w:szCs w:val="24"/>
        </w:rPr>
      </w:pPr>
    </w:p>
    <w:p w:rsidR="00575B73" w:rsidRPr="003E0325" w:rsidRDefault="00575B73" w:rsidP="00575B73">
      <w:pPr>
        <w:spacing w:line="360" w:lineRule="auto"/>
        <w:rPr>
          <w:rFonts w:ascii="Times New Roman" w:hAnsi="Times New Roman"/>
          <w:b/>
          <w:sz w:val="24"/>
          <w:szCs w:val="24"/>
        </w:rPr>
      </w:pPr>
      <w:r w:rsidRPr="003E0325">
        <w:rPr>
          <w:rFonts w:ascii="Times New Roman" w:hAnsi="Times New Roman"/>
          <w:b/>
          <w:sz w:val="24"/>
          <w:szCs w:val="24"/>
        </w:rPr>
        <w:t>Institutions and veto players</w:t>
      </w:r>
    </w:p>
    <w:p w:rsidR="00575B73" w:rsidRDefault="00F66FE1" w:rsidP="00575B73">
      <w:pPr>
        <w:spacing w:after="0" w:line="360" w:lineRule="auto"/>
        <w:rPr>
          <w:rFonts w:ascii="Times New Roman" w:hAnsi="Times New Roman"/>
          <w:sz w:val="24"/>
          <w:szCs w:val="24"/>
        </w:rPr>
      </w:pPr>
      <w:r>
        <w:rPr>
          <w:rFonts w:ascii="Times New Roman" w:hAnsi="Times New Roman"/>
          <w:sz w:val="24"/>
          <w:szCs w:val="24"/>
        </w:rPr>
        <w:t xml:space="preserve">As I explain below, the institutional framework in which decisions about proscription takes place constitute an important variable for understanding the outcome of state decisions on proscription. </w:t>
      </w:r>
      <w:r w:rsidR="00575B73">
        <w:rPr>
          <w:rFonts w:ascii="Times New Roman" w:hAnsi="Times New Roman"/>
          <w:sz w:val="24"/>
          <w:szCs w:val="24"/>
        </w:rPr>
        <w:t xml:space="preserve">In Spain, decisions about banning parties have been, and still are, in the hand of a) the legislature and executive – and thus effectively political parties – </w:t>
      </w:r>
      <w:r w:rsidR="00575B73" w:rsidRPr="00575B73">
        <w:rPr>
          <w:rFonts w:ascii="Times New Roman" w:hAnsi="Times New Roman"/>
          <w:sz w:val="24"/>
          <w:szCs w:val="24"/>
        </w:rPr>
        <w:t>and b)</w:t>
      </w:r>
      <w:r w:rsidR="00575B73">
        <w:rPr>
          <w:rFonts w:ascii="Times New Roman" w:hAnsi="Times New Roman"/>
          <w:i/>
          <w:sz w:val="24"/>
          <w:szCs w:val="24"/>
        </w:rPr>
        <w:t xml:space="preserve"> </w:t>
      </w:r>
      <w:r w:rsidR="00575B73">
        <w:rPr>
          <w:rFonts w:ascii="Times New Roman" w:hAnsi="Times New Roman"/>
          <w:sz w:val="24"/>
          <w:szCs w:val="24"/>
        </w:rPr>
        <w:t>the judiciary. The first party law, law 54/1978, and the second party law, law 6/2002</w:t>
      </w:r>
      <w:r w:rsidR="003B1559">
        <w:rPr>
          <w:rFonts w:ascii="Times New Roman" w:hAnsi="Times New Roman"/>
          <w:sz w:val="24"/>
          <w:szCs w:val="24"/>
        </w:rPr>
        <w:t>,</w:t>
      </w:r>
      <w:r w:rsidR="00575B73">
        <w:rPr>
          <w:rFonts w:ascii="Times New Roman" w:hAnsi="Times New Roman"/>
          <w:sz w:val="24"/>
          <w:szCs w:val="24"/>
        </w:rPr>
        <w:t xml:space="preserve"> gave the interior ministry responsibility for administering </w:t>
      </w:r>
      <w:r w:rsidR="003B1559">
        <w:rPr>
          <w:rFonts w:ascii="Times New Roman" w:hAnsi="Times New Roman"/>
          <w:sz w:val="24"/>
          <w:szCs w:val="24"/>
        </w:rPr>
        <w:t>a R</w:t>
      </w:r>
      <w:r w:rsidR="00575B73">
        <w:rPr>
          <w:rFonts w:ascii="Times New Roman" w:hAnsi="Times New Roman"/>
          <w:sz w:val="24"/>
          <w:szCs w:val="24"/>
        </w:rPr>
        <w:t xml:space="preserve">egister of </w:t>
      </w:r>
      <w:r w:rsidR="003B1559">
        <w:rPr>
          <w:rFonts w:ascii="Times New Roman" w:hAnsi="Times New Roman"/>
          <w:sz w:val="24"/>
          <w:szCs w:val="24"/>
        </w:rPr>
        <w:t>P</w:t>
      </w:r>
      <w:r w:rsidR="00575B73">
        <w:rPr>
          <w:rFonts w:ascii="Times New Roman" w:hAnsi="Times New Roman"/>
          <w:sz w:val="24"/>
          <w:szCs w:val="24"/>
        </w:rPr>
        <w:t xml:space="preserve">olitical </w:t>
      </w:r>
      <w:r w:rsidR="003B1559">
        <w:rPr>
          <w:rFonts w:ascii="Times New Roman" w:hAnsi="Times New Roman"/>
          <w:sz w:val="24"/>
          <w:szCs w:val="24"/>
        </w:rPr>
        <w:t>P</w:t>
      </w:r>
      <w:r w:rsidR="00575B73">
        <w:rPr>
          <w:rFonts w:ascii="Times New Roman" w:hAnsi="Times New Roman"/>
          <w:sz w:val="24"/>
          <w:szCs w:val="24"/>
        </w:rPr>
        <w:t xml:space="preserve">arties and for alerting the judiciary (via </w:t>
      </w:r>
      <w:proofErr w:type="spellStart"/>
      <w:r w:rsidR="00575B73" w:rsidRPr="003E0325">
        <w:rPr>
          <w:rFonts w:ascii="Times New Roman" w:hAnsi="Times New Roman"/>
          <w:i/>
          <w:sz w:val="24"/>
          <w:szCs w:val="24"/>
        </w:rPr>
        <w:t>Ministerio</w:t>
      </w:r>
      <w:proofErr w:type="spellEnd"/>
      <w:r w:rsidR="00575B73" w:rsidRPr="003E0325">
        <w:rPr>
          <w:rFonts w:ascii="Times New Roman" w:hAnsi="Times New Roman"/>
          <w:i/>
          <w:sz w:val="24"/>
          <w:szCs w:val="24"/>
        </w:rPr>
        <w:t xml:space="preserve"> Fiscal</w:t>
      </w:r>
      <w:r w:rsidR="00575B73">
        <w:rPr>
          <w:rFonts w:ascii="Times New Roman" w:hAnsi="Times New Roman"/>
          <w:sz w:val="24"/>
          <w:szCs w:val="24"/>
        </w:rPr>
        <w:t>, or Public Prosecutor) if it thought a party seeking registration may be an organisation defined as criminal in the Penal Code.</w:t>
      </w:r>
      <w:r w:rsidR="00575B73">
        <w:rPr>
          <w:rStyle w:val="FootnoteReference"/>
          <w:sz w:val="24"/>
          <w:szCs w:val="24"/>
        </w:rPr>
        <w:footnoteReference w:id="20"/>
      </w:r>
      <w:r w:rsidR="00575B73">
        <w:rPr>
          <w:rFonts w:ascii="Times New Roman" w:hAnsi="Times New Roman"/>
          <w:sz w:val="24"/>
          <w:szCs w:val="24"/>
        </w:rPr>
        <w:t xml:space="preserve"> If the </w:t>
      </w:r>
      <w:proofErr w:type="spellStart"/>
      <w:r w:rsidR="00575B73">
        <w:rPr>
          <w:rFonts w:ascii="Times New Roman" w:hAnsi="Times New Roman"/>
          <w:i/>
          <w:sz w:val="24"/>
          <w:szCs w:val="24"/>
        </w:rPr>
        <w:t>Ministerio</w:t>
      </w:r>
      <w:proofErr w:type="spellEnd"/>
      <w:r w:rsidR="00575B73">
        <w:rPr>
          <w:rFonts w:ascii="Times New Roman" w:hAnsi="Times New Roman"/>
          <w:i/>
          <w:sz w:val="24"/>
          <w:szCs w:val="24"/>
        </w:rPr>
        <w:t xml:space="preserve"> Fiscal</w:t>
      </w:r>
      <w:r w:rsidR="00575B73">
        <w:rPr>
          <w:rFonts w:ascii="Times New Roman" w:hAnsi="Times New Roman"/>
          <w:sz w:val="24"/>
          <w:szCs w:val="24"/>
        </w:rPr>
        <w:t xml:space="preserve"> agree</w:t>
      </w:r>
      <w:r w:rsidR="003B1559">
        <w:rPr>
          <w:rFonts w:ascii="Times New Roman" w:hAnsi="Times New Roman"/>
          <w:sz w:val="24"/>
          <w:szCs w:val="24"/>
        </w:rPr>
        <w:t>d</w:t>
      </w:r>
      <w:r w:rsidR="00575B73">
        <w:rPr>
          <w:rFonts w:ascii="Times New Roman" w:hAnsi="Times New Roman"/>
          <w:sz w:val="24"/>
          <w:szCs w:val="24"/>
        </w:rPr>
        <w:t xml:space="preserve"> there </w:t>
      </w:r>
      <w:r w:rsidR="003B1559">
        <w:rPr>
          <w:rFonts w:ascii="Times New Roman" w:hAnsi="Times New Roman"/>
          <w:sz w:val="24"/>
          <w:szCs w:val="24"/>
        </w:rPr>
        <w:t xml:space="preserve">was </w:t>
      </w:r>
      <w:r w:rsidR="00575B73">
        <w:rPr>
          <w:rFonts w:ascii="Times New Roman" w:hAnsi="Times New Roman"/>
          <w:sz w:val="24"/>
          <w:szCs w:val="24"/>
        </w:rPr>
        <w:t xml:space="preserve">a reasonable case against the party, the competent judicial authority will be asked to make a ruling on whether registration </w:t>
      </w:r>
      <w:r w:rsidR="003B1559">
        <w:rPr>
          <w:rFonts w:ascii="Times New Roman" w:hAnsi="Times New Roman"/>
          <w:sz w:val="24"/>
          <w:szCs w:val="24"/>
        </w:rPr>
        <w:t xml:space="preserve">could </w:t>
      </w:r>
      <w:r w:rsidR="00575B73">
        <w:rPr>
          <w:rFonts w:ascii="Times New Roman" w:hAnsi="Times New Roman"/>
          <w:sz w:val="24"/>
          <w:szCs w:val="24"/>
        </w:rPr>
        <w:t xml:space="preserve">take place. The second party law also required the judiciary to judge whether a party seeking </w:t>
      </w:r>
      <w:r w:rsidR="00575B73">
        <w:rPr>
          <w:rFonts w:ascii="Times New Roman" w:hAnsi="Times New Roman"/>
          <w:sz w:val="24"/>
          <w:szCs w:val="24"/>
        </w:rPr>
        <w:lastRenderedPageBreak/>
        <w:t>registration was a successor to a banned party.</w:t>
      </w:r>
      <w:r w:rsidR="00575B73">
        <w:rPr>
          <w:rStyle w:val="FootnoteReference"/>
          <w:sz w:val="24"/>
          <w:szCs w:val="24"/>
        </w:rPr>
        <w:footnoteReference w:id="21"/>
      </w:r>
      <w:r w:rsidR="00575B73">
        <w:rPr>
          <w:rFonts w:ascii="Times New Roman" w:hAnsi="Times New Roman"/>
          <w:sz w:val="24"/>
          <w:szCs w:val="24"/>
        </w:rPr>
        <w:t xml:space="preserve"> Decisions to ban or suspend a party once registered is also a decision which can ‘only be taken by the competent judicial authorities’.</w:t>
      </w:r>
      <w:r w:rsidR="00575B73">
        <w:rPr>
          <w:rStyle w:val="FootnoteReference"/>
          <w:sz w:val="24"/>
          <w:szCs w:val="24"/>
        </w:rPr>
        <w:footnoteReference w:id="22"/>
      </w:r>
      <w:r w:rsidR="00575B73">
        <w:rPr>
          <w:rFonts w:ascii="Times New Roman" w:hAnsi="Times New Roman"/>
          <w:sz w:val="24"/>
          <w:szCs w:val="24"/>
        </w:rPr>
        <w:t xml:space="preserve"> </w:t>
      </w:r>
    </w:p>
    <w:p w:rsidR="00575B73" w:rsidRDefault="00575B73" w:rsidP="00575B73">
      <w:pPr>
        <w:spacing w:after="0" w:line="360" w:lineRule="auto"/>
        <w:rPr>
          <w:rFonts w:ascii="Times New Roman" w:hAnsi="Times New Roman"/>
          <w:sz w:val="24"/>
          <w:szCs w:val="24"/>
        </w:rPr>
      </w:pPr>
    </w:p>
    <w:p w:rsidR="00575B73" w:rsidRDefault="00575B73" w:rsidP="00575B73">
      <w:pPr>
        <w:spacing w:after="0" w:line="360" w:lineRule="auto"/>
        <w:rPr>
          <w:rFonts w:ascii="Times New Roman" w:hAnsi="Times New Roman"/>
          <w:sz w:val="24"/>
          <w:szCs w:val="24"/>
        </w:rPr>
      </w:pPr>
      <w:r>
        <w:rPr>
          <w:rFonts w:ascii="Times New Roman" w:hAnsi="Times New Roman"/>
          <w:sz w:val="24"/>
          <w:szCs w:val="24"/>
        </w:rPr>
        <w:t>The 2002 party law spelt out more detailed procedures for the suspension and dissolution of parties. Criminal courts would make decisions where there were indications of criminality, while a special chamber of the Supreme Court would rule on matters relating to proscription for non-democratic internal structure and organisation and for acts violating democratic principles and which sought to damage the ‘regime of liberties’ or the democratic system.</w:t>
      </w:r>
      <w:r>
        <w:rPr>
          <w:rStyle w:val="FootnoteReference"/>
          <w:sz w:val="24"/>
          <w:szCs w:val="24"/>
        </w:rPr>
        <w:footnoteReference w:id="23"/>
      </w:r>
      <w:r>
        <w:rPr>
          <w:rFonts w:ascii="Times New Roman" w:hAnsi="Times New Roman"/>
          <w:sz w:val="24"/>
          <w:szCs w:val="24"/>
        </w:rPr>
        <w:t xml:space="preserve"> Furthermore, both the government and </w:t>
      </w:r>
      <w:proofErr w:type="spellStart"/>
      <w:r w:rsidRPr="00944D4B">
        <w:rPr>
          <w:rFonts w:ascii="Times New Roman" w:hAnsi="Times New Roman"/>
          <w:i/>
          <w:sz w:val="24"/>
          <w:szCs w:val="24"/>
        </w:rPr>
        <w:t>Ministerio</w:t>
      </w:r>
      <w:proofErr w:type="spellEnd"/>
      <w:r w:rsidRPr="00944D4B">
        <w:rPr>
          <w:rFonts w:ascii="Times New Roman" w:hAnsi="Times New Roman"/>
          <w:i/>
          <w:sz w:val="24"/>
          <w:szCs w:val="24"/>
        </w:rPr>
        <w:t xml:space="preserve"> Fiscal</w:t>
      </w:r>
      <w:r>
        <w:rPr>
          <w:rFonts w:ascii="Times New Roman" w:hAnsi="Times New Roman"/>
          <w:i/>
          <w:sz w:val="24"/>
          <w:szCs w:val="24"/>
        </w:rPr>
        <w:t xml:space="preserve"> </w:t>
      </w:r>
      <w:r>
        <w:rPr>
          <w:rFonts w:ascii="Times New Roman" w:hAnsi="Times New Roman"/>
          <w:sz w:val="24"/>
          <w:szCs w:val="24"/>
        </w:rPr>
        <w:t>are entitled to initiate court proceedings for dissolution of a party and the government is obliged to initiate a case if one of the two house of parliament, the Congress of Deputies or Senate, call for it.</w:t>
      </w:r>
      <w:r>
        <w:rPr>
          <w:rStyle w:val="FootnoteReference"/>
          <w:sz w:val="24"/>
          <w:szCs w:val="24"/>
        </w:rPr>
        <w:footnoteReference w:id="24"/>
      </w:r>
      <w:r>
        <w:rPr>
          <w:rFonts w:ascii="Times New Roman" w:hAnsi="Times New Roman"/>
          <w:sz w:val="24"/>
          <w:szCs w:val="24"/>
        </w:rPr>
        <w:t xml:space="preserve"> Appeals can be made to the Constitutional Court.  </w:t>
      </w:r>
    </w:p>
    <w:p w:rsidR="00575B73" w:rsidRDefault="00575B73" w:rsidP="00575B73">
      <w:pPr>
        <w:spacing w:after="0" w:line="360" w:lineRule="auto"/>
        <w:rPr>
          <w:rFonts w:ascii="Times New Roman" w:hAnsi="Times New Roman"/>
          <w:sz w:val="24"/>
          <w:szCs w:val="24"/>
        </w:rPr>
      </w:pPr>
    </w:p>
    <w:p w:rsidR="00575B73" w:rsidRDefault="00575B73" w:rsidP="00575B73">
      <w:pPr>
        <w:spacing w:after="0" w:line="360" w:lineRule="auto"/>
        <w:rPr>
          <w:rFonts w:ascii="Times New Roman" w:hAnsi="Times New Roman"/>
          <w:sz w:val="24"/>
          <w:szCs w:val="24"/>
        </w:rPr>
      </w:pPr>
      <w:r>
        <w:rPr>
          <w:rFonts w:ascii="Times New Roman" w:hAnsi="Times New Roman"/>
          <w:sz w:val="24"/>
          <w:szCs w:val="24"/>
        </w:rPr>
        <w:t>In contrast, the Special Powers Act ma</w:t>
      </w:r>
      <w:r w:rsidR="003B1559">
        <w:rPr>
          <w:rFonts w:ascii="Times New Roman" w:hAnsi="Times New Roman"/>
          <w:sz w:val="24"/>
          <w:szCs w:val="24"/>
        </w:rPr>
        <w:t>d</w:t>
      </w:r>
      <w:r>
        <w:rPr>
          <w:rFonts w:ascii="Times New Roman" w:hAnsi="Times New Roman"/>
          <w:sz w:val="24"/>
          <w:szCs w:val="24"/>
        </w:rPr>
        <w:t>e the executive the primary actor in decisions to ban political parties in Northern Ireland between 1922-1972. The Act gives the ‘civil authority’, namely the Minister for Home Affairs for Northern Ireland, ‘power in respe</w:t>
      </w:r>
      <w:r w:rsidR="003B1559">
        <w:rPr>
          <w:rFonts w:ascii="Times New Roman" w:hAnsi="Times New Roman"/>
          <w:sz w:val="24"/>
          <w:szCs w:val="24"/>
        </w:rPr>
        <w:t>ct of persons, matters and thing</w:t>
      </w:r>
      <w:r>
        <w:rPr>
          <w:rFonts w:ascii="Times New Roman" w:hAnsi="Times New Roman"/>
          <w:sz w:val="24"/>
          <w:szCs w:val="24"/>
        </w:rPr>
        <w:t>s within the jurisdiction of the Government of Northern Ireland, to take all such steps and issue all such orders as may be necessary for preserving the peace and maintaining order’.</w:t>
      </w:r>
      <w:r>
        <w:rPr>
          <w:rStyle w:val="FootnoteReference"/>
          <w:sz w:val="24"/>
          <w:szCs w:val="24"/>
        </w:rPr>
        <w:footnoteReference w:id="25"/>
      </w:r>
      <w:r>
        <w:rPr>
          <w:rFonts w:ascii="Times New Roman" w:hAnsi="Times New Roman"/>
          <w:sz w:val="24"/>
          <w:szCs w:val="24"/>
        </w:rPr>
        <w:t xml:space="preserve"> This includes the power to ‘make regulations’ (such as Regulation 24A on unlawful associations) ‘for making further provision for the preservation of peace and maintenance of order’ and ‘for varying or revoking any provisions of the regulations’. The House of Commons and Senate of Northern Ireland enacted this law and all regulations under the SPA had to be laid before both houses of parliament.  Either house could call on the Crown’s representative in Northern Ireland to annul regulations. In a parliament dominated by a strong Unionist majority, this check on executive power was more theoretical than real. The SPA did provide for persons alleged to be guilty of an ‘offence against the regulations’ to be tried by a court.</w:t>
      </w:r>
      <w:r>
        <w:rPr>
          <w:rStyle w:val="FootnoteReference"/>
          <w:sz w:val="24"/>
          <w:szCs w:val="24"/>
        </w:rPr>
        <w:footnoteReference w:id="26"/>
      </w:r>
      <w:r>
        <w:rPr>
          <w:rFonts w:ascii="Times New Roman" w:hAnsi="Times New Roman"/>
          <w:sz w:val="24"/>
          <w:szCs w:val="24"/>
        </w:rPr>
        <w:t xml:space="preserve"> However, decisions about which organisations were declared unlawful associations were made by the Minister of Home affairs in the form of an amendment to the Regulations listed in the Act’s Schedule (specifically Regulation 24A).</w:t>
      </w:r>
      <w:r>
        <w:rPr>
          <w:rStyle w:val="FootnoteReference"/>
          <w:sz w:val="24"/>
          <w:szCs w:val="24"/>
        </w:rPr>
        <w:footnoteReference w:id="27"/>
      </w:r>
    </w:p>
    <w:p w:rsidR="00575B73" w:rsidRDefault="00575B73" w:rsidP="00575B73">
      <w:pPr>
        <w:spacing w:after="0" w:line="360" w:lineRule="auto"/>
        <w:rPr>
          <w:rFonts w:ascii="Times New Roman" w:hAnsi="Times New Roman"/>
          <w:sz w:val="24"/>
          <w:szCs w:val="24"/>
        </w:rPr>
      </w:pPr>
    </w:p>
    <w:p w:rsidR="00575B73" w:rsidRDefault="00575B73" w:rsidP="00575B73">
      <w:pPr>
        <w:spacing w:after="0" w:line="360" w:lineRule="auto"/>
        <w:rPr>
          <w:rFonts w:ascii="Times New Roman" w:hAnsi="Times New Roman"/>
          <w:sz w:val="24"/>
          <w:szCs w:val="24"/>
        </w:rPr>
      </w:pPr>
      <w:r>
        <w:rPr>
          <w:rFonts w:ascii="Times New Roman" w:hAnsi="Times New Roman"/>
          <w:sz w:val="24"/>
          <w:szCs w:val="24"/>
        </w:rPr>
        <w:t xml:space="preserve">Republican Clubs were legalised under the authority of the Northern Ireland (Temporary Provisions) Act 1972, which prorogued the Northern Ireland Parliament, permitted its legislative powers to be </w:t>
      </w:r>
      <w:r w:rsidR="003B1559">
        <w:rPr>
          <w:rFonts w:ascii="Times New Roman" w:hAnsi="Times New Roman"/>
          <w:sz w:val="24"/>
          <w:szCs w:val="24"/>
        </w:rPr>
        <w:t xml:space="preserve">taken over </w:t>
      </w:r>
      <w:r>
        <w:rPr>
          <w:rFonts w:ascii="Times New Roman" w:hAnsi="Times New Roman"/>
          <w:sz w:val="24"/>
          <w:szCs w:val="24"/>
        </w:rPr>
        <w:t>by the British government by Order in Council and gave executive responsibility for Northern Irish affairs to the Secretary of State for Northern Ireland.</w:t>
      </w:r>
      <w:r>
        <w:rPr>
          <w:rStyle w:val="FootnoteReference"/>
          <w:sz w:val="24"/>
          <w:szCs w:val="24"/>
        </w:rPr>
        <w:footnoteReference w:id="28"/>
      </w:r>
      <w:r>
        <w:rPr>
          <w:rFonts w:ascii="Times New Roman" w:hAnsi="Times New Roman"/>
          <w:sz w:val="24"/>
          <w:szCs w:val="24"/>
        </w:rPr>
        <w:t xml:space="preserve"> However, provisions in the </w:t>
      </w:r>
      <w:r w:rsidR="003B1559">
        <w:rPr>
          <w:rFonts w:ascii="Times New Roman" w:hAnsi="Times New Roman"/>
          <w:sz w:val="24"/>
          <w:szCs w:val="24"/>
        </w:rPr>
        <w:t>S</w:t>
      </w:r>
      <w:r>
        <w:rPr>
          <w:rFonts w:ascii="Times New Roman" w:hAnsi="Times New Roman"/>
          <w:sz w:val="24"/>
          <w:szCs w:val="24"/>
        </w:rPr>
        <w:t>chedule to this act established the rule that ‘The Secretary of State shall not make any regulations under Section 1(3) of the Civil Authorities (Special Powers) Act (Northern Ireland) 1922 unless either a draft of the regulations has been approved by a resolution of each House of Parliament or the regulations declare that it appears to the Secretary of State that by reason of urgency the regulations require to be made without a draft having been so approved’.</w:t>
      </w:r>
      <w:r>
        <w:rPr>
          <w:rStyle w:val="FootnoteReference"/>
          <w:sz w:val="24"/>
          <w:szCs w:val="24"/>
        </w:rPr>
        <w:footnoteReference w:id="29"/>
      </w:r>
      <w:r>
        <w:rPr>
          <w:rFonts w:ascii="Times New Roman" w:hAnsi="Times New Roman"/>
          <w:sz w:val="24"/>
          <w:szCs w:val="24"/>
        </w:rPr>
        <w:t xml:space="preserve"> If a draft </w:t>
      </w:r>
      <w:r w:rsidR="003B1559">
        <w:rPr>
          <w:rFonts w:ascii="Times New Roman" w:hAnsi="Times New Roman"/>
          <w:sz w:val="24"/>
          <w:szCs w:val="24"/>
        </w:rPr>
        <w:t>was</w:t>
      </w:r>
      <w:r>
        <w:rPr>
          <w:rFonts w:ascii="Times New Roman" w:hAnsi="Times New Roman"/>
          <w:sz w:val="24"/>
          <w:szCs w:val="24"/>
        </w:rPr>
        <w:t xml:space="preserve"> not approved by parliament within 40 days, however, the Order would cease to have effect.</w:t>
      </w:r>
      <w:r>
        <w:rPr>
          <w:rStyle w:val="FootnoteReference"/>
          <w:sz w:val="24"/>
          <w:szCs w:val="24"/>
        </w:rPr>
        <w:footnoteReference w:id="30"/>
      </w:r>
    </w:p>
    <w:p w:rsidR="00575B73" w:rsidRDefault="00575B73" w:rsidP="00575B73">
      <w:pPr>
        <w:spacing w:after="0" w:line="360" w:lineRule="auto"/>
        <w:rPr>
          <w:rFonts w:ascii="Times New Roman" w:hAnsi="Times New Roman"/>
          <w:sz w:val="24"/>
          <w:szCs w:val="24"/>
        </w:rPr>
      </w:pPr>
    </w:p>
    <w:p w:rsidR="00575B73" w:rsidRDefault="00575B73" w:rsidP="00575B73">
      <w:pPr>
        <w:spacing w:after="0" w:line="360" w:lineRule="auto"/>
        <w:rPr>
          <w:rFonts w:ascii="Times New Roman" w:hAnsi="Times New Roman"/>
          <w:sz w:val="24"/>
          <w:szCs w:val="24"/>
        </w:rPr>
      </w:pPr>
      <w:r>
        <w:rPr>
          <w:rFonts w:ascii="Times New Roman" w:hAnsi="Times New Roman"/>
          <w:sz w:val="24"/>
          <w:szCs w:val="24"/>
        </w:rPr>
        <w:t>Like the Special Powers Act, the Northern Ireland (Emergency Provisions) Act 1973 also makes the executive the primary actor in proscription decisions. More specifically, the Act authorises the Secretary of State to add ‘by order’ to Schedule 2 of the Act (which lists proscribed organisations) ‘any organisation that appears to him to be concerned in terrorism or in promoting or encouraging it’.</w:t>
      </w:r>
      <w:r>
        <w:rPr>
          <w:rStyle w:val="FootnoteReference"/>
          <w:sz w:val="24"/>
          <w:szCs w:val="24"/>
        </w:rPr>
        <w:footnoteReference w:id="31"/>
      </w:r>
      <w:r>
        <w:rPr>
          <w:rFonts w:ascii="Times New Roman" w:hAnsi="Times New Roman"/>
          <w:sz w:val="24"/>
          <w:szCs w:val="24"/>
        </w:rPr>
        <w:t xml:space="preserve"> Section 19 of the Act which deals with proscription does not include any formal requirement that parliament endorse the Secretary of State’s decisions on proscription. </w:t>
      </w:r>
      <w:r>
        <w:rPr>
          <w:rStyle w:val="FootnoteReference"/>
          <w:sz w:val="24"/>
          <w:szCs w:val="24"/>
        </w:rPr>
        <w:footnoteReference w:id="32"/>
      </w:r>
      <w:r>
        <w:rPr>
          <w:rFonts w:ascii="Times New Roman" w:hAnsi="Times New Roman"/>
          <w:sz w:val="24"/>
          <w:szCs w:val="24"/>
        </w:rPr>
        <w:t>The Secretary of State may also remove ‘by order’ a proscribed organisation from Schedule 2. Both the Northern Ireland (Temporary Provisions) Act and the Northern Ireland (Emergency provisions Act) were approved by both Houses of Parliament.</w:t>
      </w:r>
    </w:p>
    <w:p w:rsidR="00575B73" w:rsidRDefault="00575B73" w:rsidP="00B8506C">
      <w:pPr>
        <w:spacing w:line="360" w:lineRule="auto"/>
        <w:rPr>
          <w:rFonts w:ascii="Times New Roman" w:hAnsi="Times New Roman"/>
          <w:b/>
          <w:sz w:val="24"/>
          <w:szCs w:val="24"/>
          <w:lang w:val="en-US"/>
        </w:rPr>
      </w:pPr>
    </w:p>
    <w:p w:rsidR="0021746F" w:rsidRPr="00CA2B09" w:rsidRDefault="0021746F" w:rsidP="00B8506C">
      <w:pPr>
        <w:spacing w:line="360" w:lineRule="auto"/>
        <w:rPr>
          <w:rFonts w:ascii="Times New Roman" w:hAnsi="Times New Roman"/>
          <w:b/>
          <w:sz w:val="24"/>
          <w:szCs w:val="24"/>
          <w:lang w:val="en-US"/>
        </w:rPr>
      </w:pPr>
      <w:r>
        <w:rPr>
          <w:rFonts w:ascii="Times New Roman" w:hAnsi="Times New Roman"/>
          <w:b/>
          <w:sz w:val="24"/>
          <w:szCs w:val="24"/>
          <w:lang w:val="en-US"/>
        </w:rPr>
        <w:t>T</w:t>
      </w:r>
      <w:r w:rsidRPr="00CA2B09">
        <w:rPr>
          <w:rFonts w:ascii="Times New Roman" w:hAnsi="Times New Roman"/>
          <w:b/>
          <w:sz w:val="24"/>
          <w:szCs w:val="24"/>
          <w:lang w:val="en-US"/>
        </w:rPr>
        <w:t>he ‘proscription dilemma’,</w:t>
      </w:r>
      <w:r>
        <w:rPr>
          <w:rFonts w:ascii="Times New Roman" w:hAnsi="Times New Roman"/>
          <w:b/>
          <w:sz w:val="24"/>
          <w:szCs w:val="24"/>
          <w:lang w:val="en-US"/>
        </w:rPr>
        <w:t xml:space="preserve"> ‘</w:t>
      </w:r>
      <w:r w:rsidRPr="00CA2B09">
        <w:rPr>
          <w:rFonts w:ascii="Times New Roman" w:hAnsi="Times New Roman"/>
          <w:b/>
          <w:sz w:val="24"/>
          <w:szCs w:val="24"/>
          <w:lang w:val="en-US"/>
        </w:rPr>
        <w:t>tolerant</w:t>
      </w:r>
      <w:r>
        <w:rPr>
          <w:rFonts w:ascii="Times New Roman" w:hAnsi="Times New Roman"/>
          <w:b/>
          <w:sz w:val="24"/>
          <w:szCs w:val="24"/>
          <w:lang w:val="en-US"/>
        </w:rPr>
        <w:t>’</w:t>
      </w:r>
      <w:r w:rsidRPr="00CA2B09">
        <w:rPr>
          <w:rFonts w:ascii="Times New Roman" w:hAnsi="Times New Roman"/>
          <w:b/>
          <w:sz w:val="24"/>
          <w:szCs w:val="24"/>
          <w:lang w:val="en-US"/>
        </w:rPr>
        <w:t xml:space="preserve"> and </w:t>
      </w:r>
      <w:r>
        <w:rPr>
          <w:rFonts w:ascii="Times New Roman" w:hAnsi="Times New Roman"/>
          <w:b/>
          <w:sz w:val="24"/>
          <w:szCs w:val="24"/>
          <w:lang w:val="en-US"/>
        </w:rPr>
        <w:t>‘</w:t>
      </w:r>
      <w:r w:rsidRPr="00CA2B09">
        <w:rPr>
          <w:rFonts w:ascii="Times New Roman" w:hAnsi="Times New Roman"/>
          <w:b/>
          <w:sz w:val="24"/>
          <w:szCs w:val="24"/>
          <w:lang w:val="en-US"/>
        </w:rPr>
        <w:t>intolerant</w:t>
      </w:r>
      <w:r>
        <w:rPr>
          <w:rFonts w:ascii="Times New Roman" w:hAnsi="Times New Roman"/>
          <w:b/>
          <w:sz w:val="24"/>
          <w:szCs w:val="24"/>
          <w:lang w:val="en-US"/>
        </w:rPr>
        <w:t>’</w:t>
      </w:r>
      <w:r w:rsidRPr="00CA2B09">
        <w:rPr>
          <w:rFonts w:ascii="Times New Roman" w:hAnsi="Times New Roman"/>
          <w:b/>
          <w:sz w:val="24"/>
          <w:szCs w:val="24"/>
          <w:lang w:val="en-US"/>
        </w:rPr>
        <w:t xml:space="preserve"> democracies</w:t>
      </w:r>
    </w:p>
    <w:p w:rsidR="0021746F" w:rsidRDefault="0021746F" w:rsidP="00B8506C">
      <w:pPr>
        <w:spacing w:line="360" w:lineRule="auto"/>
        <w:rPr>
          <w:rFonts w:ascii="Times New Roman" w:hAnsi="Times New Roman"/>
          <w:sz w:val="24"/>
          <w:szCs w:val="24"/>
        </w:rPr>
      </w:pPr>
      <w:r w:rsidRPr="00AB76B4">
        <w:rPr>
          <w:rFonts w:ascii="Times New Roman" w:hAnsi="Times New Roman"/>
          <w:sz w:val="24"/>
          <w:szCs w:val="24"/>
          <w:lang w:val="en-US"/>
        </w:rPr>
        <w:t>The proscription of political parties presents a dilemma for democracies</w:t>
      </w:r>
      <w:r w:rsidR="00F66FE1">
        <w:rPr>
          <w:rFonts w:ascii="Times New Roman" w:hAnsi="Times New Roman"/>
          <w:sz w:val="24"/>
          <w:szCs w:val="24"/>
          <w:lang w:val="en-US"/>
        </w:rPr>
        <w:t xml:space="preserve"> and as such, it is a grave act. </w:t>
      </w:r>
      <w:r w:rsidRPr="00AB76B4">
        <w:rPr>
          <w:rFonts w:ascii="Times New Roman" w:hAnsi="Times New Roman"/>
          <w:sz w:val="24"/>
          <w:szCs w:val="24"/>
        </w:rPr>
        <w:t xml:space="preserve">Banning a political party is a grave act for a democracy. It may contradict fundamental commitments to freedom of expression and association, pluralism and tolerance. It distorts the </w:t>
      </w:r>
      <w:r w:rsidRPr="00AB76B4">
        <w:rPr>
          <w:rFonts w:ascii="Times New Roman" w:hAnsi="Times New Roman"/>
          <w:sz w:val="24"/>
          <w:szCs w:val="24"/>
        </w:rPr>
        <w:lastRenderedPageBreak/>
        <w:t xml:space="preserve">posited level playing field of democratic competition and prevents the unhindered articulation and representation of citizen preferences. The party ban is the harshest of myriad penalties, strategies and manoeuvres that may be employed to marginalise </w:t>
      </w:r>
      <w:r>
        <w:rPr>
          <w:rFonts w:ascii="Times New Roman" w:hAnsi="Times New Roman"/>
          <w:sz w:val="24"/>
          <w:szCs w:val="24"/>
        </w:rPr>
        <w:t xml:space="preserve">subversive </w:t>
      </w:r>
      <w:r w:rsidRPr="00AB76B4">
        <w:rPr>
          <w:rFonts w:ascii="Times New Roman" w:hAnsi="Times New Roman"/>
          <w:sz w:val="24"/>
          <w:szCs w:val="24"/>
        </w:rPr>
        <w:t>political projects. It is often the mark of tyranny. And yet, at some point in the 20</w:t>
      </w:r>
      <w:r w:rsidRPr="00AB76B4">
        <w:rPr>
          <w:rFonts w:ascii="Times New Roman" w:hAnsi="Times New Roman"/>
          <w:sz w:val="24"/>
          <w:szCs w:val="24"/>
          <w:vertAlign w:val="superscript"/>
        </w:rPr>
        <w:t>th</w:t>
      </w:r>
      <w:r w:rsidRPr="00AB76B4">
        <w:rPr>
          <w:rFonts w:ascii="Times New Roman" w:hAnsi="Times New Roman"/>
          <w:sz w:val="24"/>
          <w:szCs w:val="24"/>
        </w:rPr>
        <w:t xml:space="preserve"> century many democratic states in Europe and North America – long the bastions of democratic politics - have banned a political party. </w:t>
      </w:r>
      <w:r>
        <w:rPr>
          <w:rFonts w:ascii="Times New Roman" w:hAnsi="Times New Roman"/>
          <w:sz w:val="24"/>
          <w:szCs w:val="24"/>
        </w:rPr>
        <w:t>T</w:t>
      </w:r>
      <w:r w:rsidRPr="00AB76B4">
        <w:rPr>
          <w:rFonts w:ascii="Times New Roman" w:hAnsi="Times New Roman"/>
          <w:sz w:val="24"/>
          <w:szCs w:val="24"/>
        </w:rPr>
        <w:t xml:space="preserve">he party ban has been </w:t>
      </w:r>
      <w:r>
        <w:rPr>
          <w:rFonts w:ascii="Times New Roman" w:hAnsi="Times New Roman"/>
          <w:sz w:val="24"/>
          <w:szCs w:val="24"/>
        </w:rPr>
        <w:t xml:space="preserve">invoked </w:t>
      </w:r>
      <w:r w:rsidRPr="00AB76B4">
        <w:rPr>
          <w:rFonts w:ascii="Times New Roman" w:hAnsi="Times New Roman"/>
          <w:sz w:val="24"/>
          <w:szCs w:val="24"/>
        </w:rPr>
        <w:t xml:space="preserve">as much to protect democracy as to preserve the state. With very few exceptions, proscribed </w:t>
      </w:r>
      <w:r w:rsidR="00F66FE1">
        <w:rPr>
          <w:rFonts w:ascii="Times New Roman" w:hAnsi="Times New Roman"/>
          <w:sz w:val="24"/>
          <w:szCs w:val="24"/>
        </w:rPr>
        <w:t xml:space="preserve">parties </w:t>
      </w:r>
      <w:r w:rsidRPr="00AB76B4">
        <w:rPr>
          <w:rFonts w:ascii="Times New Roman" w:hAnsi="Times New Roman"/>
          <w:sz w:val="24"/>
          <w:szCs w:val="24"/>
        </w:rPr>
        <w:t>have been communists, the far right, religious fundamentalist and ethnic minorities. The typical party ban punishes those charged with promoting authoritarian political forms and violent regime change, exhibiting racist behaviour, serving the interests of a foreign power, undermining the territorial integrity of the state, or some combination of these. Oftentimes, the ban addresses the fear - instantiated by the paradigmatic errors of Weimar Germany and the Nazi’s rise to power through constitutional means –</w:t>
      </w:r>
      <w:r>
        <w:rPr>
          <w:rFonts w:ascii="Times New Roman" w:hAnsi="Times New Roman"/>
          <w:sz w:val="24"/>
          <w:szCs w:val="24"/>
        </w:rPr>
        <w:t xml:space="preserve"> </w:t>
      </w:r>
      <w:r w:rsidRPr="00AB76B4">
        <w:rPr>
          <w:rFonts w:ascii="Times New Roman" w:hAnsi="Times New Roman"/>
          <w:sz w:val="24"/>
          <w:szCs w:val="24"/>
        </w:rPr>
        <w:t xml:space="preserve">that democracy may be abused by enemies of the status quo. Democracy, as </w:t>
      </w:r>
      <w:proofErr w:type="spellStart"/>
      <w:r w:rsidRPr="00AB76B4">
        <w:rPr>
          <w:rFonts w:ascii="Times New Roman" w:hAnsi="Times New Roman"/>
          <w:sz w:val="24"/>
          <w:szCs w:val="24"/>
        </w:rPr>
        <w:t>Loewenstein</w:t>
      </w:r>
      <w:proofErr w:type="spellEnd"/>
      <w:r w:rsidRPr="00AB76B4">
        <w:rPr>
          <w:rFonts w:ascii="Times New Roman" w:hAnsi="Times New Roman"/>
          <w:sz w:val="24"/>
          <w:szCs w:val="24"/>
        </w:rPr>
        <w:t xml:space="preserve"> put it in his 1937 appeal against fascism, may become the ‘Trojan horse by which the enemy enters the city’ (</w:t>
      </w:r>
      <w:proofErr w:type="spellStart"/>
      <w:r w:rsidRPr="00AB76B4">
        <w:rPr>
          <w:rFonts w:ascii="Times New Roman" w:hAnsi="Times New Roman"/>
          <w:sz w:val="24"/>
          <w:szCs w:val="24"/>
        </w:rPr>
        <w:t>Loewenstein</w:t>
      </w:r>
      <w:proofErr w:type="spellEnd"/>
      <w:r w:rsidRPr="00AB76B4">
        <w:rPr>
          <w:rFonts w:ascii="Times New Roman" w:hAnsi="Times New Roman"/>
          <w:sz w:val="24"/>
          <w:szCs w:val="24"/>
        </w:rPr>
        <w:t xml:space="preserve"> 1937, 424).</w:t>
      </w:r>
    </w:p>
    <w:p w:rsidR="0021746F" w:rsidRPr="00932915" w:rsidRDefault="0021746F" w:rsidP="00B8506C">
      <w:pPr>
        <w:spacing w:line="360" w:lineRule="auto"/>
        <w:rPr>
          <w:rFonts w:ascii="Times New Roman" w:hAnsi="Times New Roman"/>
          <w:sz w:val="24"/>
          <w:szCs w:val="24"/>
        </w:rPr>
      </w:pPr>
      <w:r>
        <w:rPr>
          <w:rFonts w:ascii="Times New Roman" w:hAnsi="Times New Roman"/>
          <w:sz w:val="24"/>
          <w:szCs w:val="24"/>
        </w:rPr>
        <w:t xml:space="preserve">Existing studies often distinguish between various types of response to this dilemma. Fox and Nolte (2000) distinguishes between </w:t>
      </w:r>
      <w:r w:rsidRPr="00932915">
        <w:rPr>
          <w:rFonts w:ascii="Times New Roman" w:hAnsi="Times New Roman"/>
          <w:sz w:val="24"/>
          <w:szCs w:val="24"/>
        </w:rPr>
        <w:t>‘tolerant’ and ‘intolerant’ democracies</w:t>
      </w:r>
      <w:r>
        <w:rPr>
          <w:rFonts w:ascii="Times New Roman" w:hAnsi="Times New Roman"/>
          <w:sz w:val="24"/>
          <w:szCs w:val="24"/>
        </w:rPr>
        <w:t xml:space="preserve">, </w:t>
      </w:r>
      <w:proofErr w:type="spellStart"/>
      <w:r>
        <w:rPr>
          <w:rFonts w:ascii="Times New Roman" w:hAnsi="Times New Roman"/>
          <w:sz w:val="24"/>
          <w:szCs w:val="24"/>
        </w:rPr>
        <w:t>Pedahzur</w:t>
      </w:r>
      <w:proofErr w:type="spellEnd"/>
      <w:r>
        <w:rPr>
          <w:rFonts w:ascii="Times New Roman" w:hAnsi="Times New Roman"/>
          <w:sz w:val="24"/>
          <w:szCs w:val="24"/>
        </w:rPr>
        <w:t xml:space="preserve"> (2004) distinguishes between </w:t>
      </w:r>
      <w:r w:rsidRPr="00932915">
        <w:rPr>
          <w:rFonts w:ascii="Times New Roman" w:hAnsi="Times New Roman"/>
          <w:sz w:val="24"/>
          <w:szCs w:val="24"/>
        </w:rPr>
        <w:t>‘militant’ and ‘immunized’ democracies (</w:t>
      </w:r>
      <w:proofErr w:type="spellStart"/>
      <w:r w:rsidRPr="00932915">
        <w:rPr>
          <w:rFonts w:ascii="Times New Roman" w:hAnsi="Times New Roman"/>
          <w:sz w:val="24"/>
          <w:szCs w:val="24"/>
        </w:rPr>
        <w:t>Pedahzur</w:t>
      </w:r>
      <w:proofErr w:type="spellEnd"/>
      <w:r w:rsidRPr="00932915">
        <w:rPr>
          <w:rFonts w:ascii="Times New Roman" w:hAnsi="Times New Roman"/>
          <w:sz w:val="24"/>
          <w:szCs w:val="24"/>
        </w:rPr>
        <w:t>, 2004)</w:t>
      </w:r>
      <w:r>
        <w:rPr>
          <w:rFonts w:ascii="Times New Roman" w:hAnsi="Times New Roman"/>
          <w:sz w:val="24"/>
          <w:szCs w:val="24"/>
        </w:rPr>
        <w:t xml:space="preserve">, while the distinction between </w:t>
      </w:r>
      <w:r w:rsidRPr="00932915">
        <w:rPr>
          <w:rFonts w:ascii="Times New Roman" w:hAnsi="Times New Roman"/>
          <w:sz w:val="24"/>
          <w:szCs w:val="24"/>
        </w:rPr>
        <w:t xml:space="preserve">‘militant’ or ‘procedural’ democracies’ </w:t>
      </w:r>
      <w:r>
        <w:rPr>
          <w:rFonts w:ascii="Times New Roman" w:hAnsi="Times New Roman"/>
          <w:sz w:val="24"/>
          <w:szCs w:val="24"/>
        </w:rPr>
        <w:t xml:space="preserve">is </w:t>
      </w:r>
      <w:r w:rsidRPr="00932915">
        <w:rPr>
          <w:rFonts w:ascii="Times New Roman" w:hAnsi="Times New Roman"/>
          <w:sz w:val="24"/>
          <w:szCs w:val="24"/>
        </w:rPr>
        <w:t xml:space="preserve">often made in the legal literature on proscription (for example, Vidal, 2009, </w:t>
      </w:r>
      <w:proofErr w:type="spellStart"/>
      <w:r w:rsidRPr="00932915">
        <w:rPr>
          <w:rFonts w:ascii="Times New Roman" w:hAnsi="Times New Roman"/>
          <w:sz w:val="24"/>
          <w:szCs w:val="24"/>
        </w:rPr>
        <w:t>Thiel</w:t>
      </w:r>
      <w:proofErr w:type="spellEnd"/>
      <w:r w:rsidRPr="00932915">
        <w:rPr>
          <w:rFonts w:ascii="Times New Roman" w:hAnsi="Times New Roman"/>
          <w:sz w:val="24"/>
          <w:szCs w:val="24"/>
        </w:rPr>
        <w:t xml:space="preserve">, 2009). </w:t>
      </w:r>
      <w:proofErr w:type="spellStart"/>
      <w:r w:rsidRPr="00932915">
        <w:rPr>
          <w:rFonts w:ascii="Times New Roman" w:hAnsi="Times New Roman"/>
          <w:sz w:val="24"/>
          <w:szCs w:val="24"/>
        </w:rPr>
        <w:t>Pedahzur</w:t>
      </w:r>
      <w:proofErr w:type="spellEnd"/>
      <w:r w:rsidR="00F66FE1">
        <w:rPr>
          <w:rFonts w:ascii="Times New Roman" w:hAnsi="Times New Roman"/>
          <w:sz w:val="24"/>
          <w:szCs w:val="24"/>
        </w:rPr>
        <w:t xml:space="preserve"> (2004)</w:t>
      </w:r>
      <w:r w:rsidRPr="00932915">
        <w:rPr>
          <w:rFonts w:ascii="Times New Roman" w:hAnsi="Times New Roman"/>
          <w:sz w:val="24"/>
          <w:szCs w:val="24"/>
        </w:rPr>
        <w:t>, for instance, identifies two ideal type responses to political extremism.</w:t>
      </w:r>
      <w:r w:rsidRPr="00932915">
        <w:rPr>
          <w:rStyle w:val="FootnoteReference"/>
          <w:sz w:val="24"/>
          <w:szCs w:val="24"/>
        </w:rPr>
        <w:footnoteReference w:id="33"/>
      </w:r>
      <w:r w:rsidRPr="00932915">
        <w:rPr>
          <w:rFonts w:ascii="Times New Roman" w:hAnsi="Times New Roman"/>
          <w:sz w:val="24"/>
          <w:szCs w:val="24"/>
        </w:rPr>
        <w:t xml:space="preserve"> On the one hand, a less-belligerent, ‘immunized’, approach will deal with subversive acts against the government or state in a more comprehensive and liberal manner</w:t>
      </w:r>
      <w:r>
        <w:rPr>
          <w:rFonts w:ascii="Times New Roman" w:hAnsi="Times New Roman"/>
          <w:sz w:val="24"/>
          <w:szCs w:val="24"/>
        </w:rPr>
        <w:t xml:space="preserve"> (2004, </w:t>
      </w:r>
      <w:r w:rsidRPr="00565C9C">
        <w:t>115-</w:t>
      </w:r>
      <w:r>
        <w:t xml:space="preserve">11). </w:t>
      </w:r>
      <w:r w:rsidRPr="00932915">
        <w:rPr>
          <w:rFonts w:ascii="Times New Roman" w:hAnsi="Times New Roman"/>
          <w:sz w:val="24"/>
          <w:szCs w:val="24"/>
        </w:rPr>
        <w:t xml:space="preserve"> It will focus on treating both causes and symptoms of extremism, provide opportunities for civil society initiatives against extremism and will try to inculcate democratic values through programmes of civic education. State responses will be within normal legal and constitutional limits and renounce extensive use of measures like restrictions on freedom of movement or infiltration of extremist groups. </w:t>
      </w:r>
    </w:p>
    <w:p w:rsidR="0021746F" w:rsidRPr="00932915" w:rsidRDefault="0021746F" w:rsidP="00B8506C">
      <w:pPr>
        <w:spacing w:line="360" w:lineRule="auto"/>
        <w:rPr>
          <w:rFonts w:ascii="Times New Roman" w:hAnsi="Times New Roman"/>
          <w:sz w:val="24"/>
          <w:szCs w:val="24"/>
        </w:rPr>
      </w:pPr>
      <w:r w:rsidRPr="00932915">
        <w:rPr>
          <w:rFonts w:ascii="Times New Roman" w:hAnsi="Times New Roman"/>
          <w:sz w:val="24"/>
          <w:szCs w:val="24"/>
        </w:rPr>
        <w:t xml:space="preserve">In contrast, a ‘militant’ route focuses on the symptoms of extremism, such as incitement and violence, and employs measures which may undermine democratic standards, such as illegal police monitoring or party bans which circumvent standard legal and judicial processes. Such a response </w:t>
      </w:r>
      <w:r w:rsidRPr="00932915">
        <w:rPr>
          <w:rFonts w:ascii="Times New Roman" w:hAnsi="Times New Roman"/>
          <w:sz w:val="24"/>
          <w:szCs w:val="24"/>
        </w:rPr>
        <w:lastRenderedPageBreak/>
        <w:t xml:space="preserve">will make frequently use special police and security services and continually expand the legal framework to confront extremists. It will show little interest in treating causes of extremism though promoting democratic socialisation through the education system or promote civil society initiatives. </w:t>
      </w:r>
    </w:p>
    <w:p w:rsidR="0021746F" w:rsidRPr="00932915" w:rsidRDefault="0021746F" w:rsidP="00B8506C">
      <w:pPr>
        <w:spacing w:line="360" w:lineRule="auto"/>
        <w:rPr>
          <w:rFonts w:ascii="Times New Roman" w:hAnsi="Times New Roman"/>
          <w:sz w:val="24"/>
          <w:szCs w:val="24"/>
        </w:rPr>
      </w:pPr>
      <w:r w:rsidRPr="00932915">
        <w:rPr>
          <w:rFonts w:ascii="Times New Roman" w:hAnsi="Times New Roman"/>
          <w:sz w:val="24"/>
          <w:szCs w:val="24"/>
        </w:rPr>
        <w:t>Fox and Nolte</w:t>
      </w:r>
      <w:r>
        <w:rPr>
          <w:rFonts w:ascii="Times New Roman" w:hAnsi="Times New Roman"/>
          <w:sz w:val="24"/>
          <w:szCs w:val="24"/>
        </w:rPr>
        <w:t xml:space="preserve"> (2000)</w:t>
      </w:r>
      <w:r w:rsidRPr="00932915">
        <w:rPr>
          <w:rFonts w:ascii="Times New Roman" w:hAnsi="Times New Roman"/>
          <w:sz w:val="24"/>
          <w:szCs w:val="24"/>
        </w:rPr>
        <w:t xml:space="preserve">, develop a two dimensional typology of democratic responses to extremism. On the one hand, they distinguish between contrasting ‘procedural’ and ‘substantive’ conceptions of democracy. On the other, they distinguishes between states which actively (or militantly) employ measures against such actors and those which do not (passive or tolerant), even when their legal system may permit them to do so. </w:t>
      </w:r>
    </w:p>
    <w:p w:rsidR="0021746F" w:rsidRPr="00932915" w:rsidRDefault="0021746F" w:rsidP="00B8506C">
      <w:pPr>
        <w:spacing w:line="360" w:lineRule="auto"/>
        <w:rPr>
          <w:rFonts w:ascii="Times New Roman" w:hAnsi="Times New Roman"/>
          <w:sz w:val="24"/>
          <w:szCs w:val="24"/>
          <w:lang w:val="en-US"/>
        </w:rPr>
      </w:pPr>
      <w:r w:rsidRPr="00932915">
        <w:rPr>
          <w:rFonts w:ascii="Times New Roman" w:hAnsi="Times New Roman"/>
        </w:rPr>
        <w:t xml:space="preserve"> </w:t>
      </w:r>
      <w:r w:rsidRPr="00932915">
        <w:rPr>
          <w:rFonts w:ascii="Times New Roman" w:hAnsi="Times New Roman"/>
          <w:sz w:val="24"/>
          <w:szCs w:val="24"/>
          <w:lang w:val="en-US"/>
        </w:rPr>
        <w:t xml:space="preserve">A ‘procedural model’ draws on Schumpeter’s </w:t>
      </w:r>
      <w:r>
        <w:rPr>
          <w:rFonts w:ascii="Times New Roman" w:hAnsi="Times New Roman"/>
          <w:sz w:val="24"/>
          <w:szCs w:val="24"/>
          <w:lang w:val="en-US"/>
        </w:rPr>
        <w:t xml:space="preserve">(1947) </w:t>
      </w:r>
      <w:r w:rsidRPr="00932915">
        <w:rPr>
          <w:rFonts w:ascii="Times New Roman" w:hAnsi="Times New Roman"/>
          <w:sz w:val="24"/>
          <w:szCs w:val="24"/>
          <w:lang w:val="en-US"/>
        </w:rPr>
        <w:t>conception of democracy as an institutional arrangement for choosing leaders and determining the political preferences of majorities</w:t>
      </w:r>
      <w:r>
        <w:rPr>
          <w:rFonts w:ascii="Times New Roman" w:hAnsi="Times New Roman"/>
          <w:sz w:val="24"/>
          <w:szCs w:val="24"/>
          <w:lang w:val="en-US"/>
        </w:rPr>
        <w:t xml:space="preserve">. </w:t>
      </w:r>
      <w:r w:rsidRPr="00932915">
        <w:rPr>
          <w:rFonts w:ascii="Times New Roman" w:hAnsi="Times New Roman"/>
          <w:sz w:val="24"/>
          <w:szCs w:val="24"/>
          <w:lang w:val="en-US"/>
        </w:rPr>
        <w:t>The views of all citizens are given equal consideration and the primacy of majority rule as a basis for legitimacy limits state authority to select among competing views. An individual’s capacity for reason, a continual process of self-examination and knowledge of alternatives strengthen public commitment to democracy, but cannot ensure it will always prevail. Tolerance is a transcendent norm. This ‘rough approximation of actual state practice’</w:t>
      </w:r>
      <w:r>
        <w:rPr>
          <w:rFonts w:ascii="Times New Roman" w:hAnsi="Times New Roman"/>
          <w:sz w:val="24"/>
          <w:szCs w:val="24"/>
          <w:lang w:val="en-US"/>
        </w:rPr>
        <w:t xml:space="preserve"> (Fox and Nolte, 2000, 406)</w:t>
      </w:r>
      <w:r w:rsidRPr="00932915">
        <w:rPr>
          <w:rFonts w:ascii="Times New Roman" w:hAnsi="Times New Roman"/>
          <w:sz w:val="24"/>
          <w:szCs w:val="24"/>
          <w:lang w:val="en-US"/>
        </w:rPr>
        <w:t xml:space="preserve"> takes more concrete form in specific constitutional features, including the absence of substantive limits on Acts of Parliament, or the absence of restrictions on the scope of constitutional change</w:t>
      </w:r>
      <w:r>
        <w:rPr>
          <w:rFonts w:ascii="Times New Roman" w:hAnsi="Times New Roman"/>
          <w:sz w:val="24"/>
          <w:szCs w:val="24"/>
          <w:lang w:val="en-US"/>
        </w:rPr>
        <w:t xml:space="preserve"> (ibid, 406-8).</w:t>
      </w:r>
      <w:r w:rsidRPr="00932915">
        <w:rPr>
          <w:rFonts w:ascii="Times New Roman" w:hAnsi="Times New Roman"/>
          <w:sz w:val="24"/>
          <w:szCs w:val="24"/>
          <w:lang w:val="en-US"/>
        </w:rPr>
        <w:t xml:space="preserve"> </w:t>
      </w:r>
    </w:p>
    <w:p w:rsidR="0021746F" w:rsidRPr="00932915" w:rsidRDefault="0021746F" w:rsidP="00B8506C">
      <w:pPr>
        <w:spacing w:line="360" w:lineRule="auto"/>
        <w:rPr>
          <w:rFonts w:ascii="Times New Roman" w:hAnsi="Times New Roman"/>
          <w:sz w:val="24"/>
          <w:szCs w:val="24"/>
          <w:lang w:val="en-US"/>
        </w:rPr>
      </w:pPr>
      <w:r w:rsidRPr="00932915">
        <w:rPr>
          <w:rFonts w:ascii="Times New Roman" w:hAnsi="Times New Roman"/>
          <w:sz w:val="24"/>
          <w:szCs w:val="24"/>
        </w:rPr>
        <w:t xml:space="preserve">In a </w:t>
      </w:r>
      <w:r w:rsidRPr="00932915">
        <w:rPr>
          <w:rFonts w:ascii="Times New Roman" w:hAnsi="Times New Roman"/>
          <w:sz w:val="24"/>
          <w:szCs w:val="24"/>
          <w:lang w:val="en-US"/>
        </w:rPr>
        <w:t xml:space="preserve">‘substantive democracy’, by contrast, democratic procedure is conceived as a means for creating a society where citizens enjoy core rights and liberties. It draws on Mill, Rawls and others in its insistence that rights cannot be used to abolish other rights, and that a democracy need not tolerate the intolerant when its core values are at stake. An unalterable democratic core deserves special protection against possible incursions. The most important characteristic of a substantive democracy’s legal system are specific prohibitions on amendment of core constitutional commitments to democracy (or other core principles such as territorial integrity or </w:t>
      </w:r>
      <w:proofErr w:type="spellStart"/>
      <w:r w:rsidRPr="00932915">
        <w:rPr>
          <w:rFonts w:ascii="Times New Roman" w:hAnsi="Times New Roman"/>
          <w:sz w:val="24"/>
          <w:szCs w:val="24"/>
          <w:lang w:val="en-US"/>
        </w:rPr>
        <w:t>secularlism</w:t>
      </w:r>
      <w:proofErr w:type="spellEnd"/>
      <w:r w:rsidRPr="00932915">
        <w:rPr>
          <w:rFonts w:ascii="Times New Roman" w:hAnsi="Times New Roman"/>
          <w:sz w:val="24"/>
          <w:szCs w:val="24"/>
          <w:lang w:val="en-US"/>
        </w:rPr>
        <w:t xml:space="preserve">). </w:t>
      </w:r>
    </w:p>
    <w:p w:rsidR="0021746F" w:rsidRDefault="0021746F" w:rsidP="00B8506C">
      <w:pPr>
        <w:pStyle w:val="EndnoteText"/>
        <w:spacing w:before="100" w:beforeAutospacing="1" w:after="100" w:afterAutospacing="1" w:line="360" w:lineRule="auto"/>
        <w:rPr>
          <w:sz w:val="24"/>
          <w:szCs w:val="24"/>
        </w:rPr>
      </w:pPr>
      <w:r w:rsidRPr="000B3256">
        <w:rPr>
          <w:rFonts w:ascii="Times New Roman" w:hAnsi="Times New Roman"/>
          <w:sz w:val="24"/>
          <w:szCs w:val="24"/>
        </w:rPr>
        <w:t xml:space="preserve">The problem with these approaches is that they do not provide a reliable guide to predicting why some democracies ban parties but others do not. In </w:t>
      </w:r>
      <w:proofErr w:type="spellStart"/>
      <w:r w:rsidRPr="000B3256">
        <w:rPr>
          <w:rFonts w:ascii="Times New Roman" w:hAnsi="Times New Roman"/>
          <w:sz w:val="24"/>
          <w:szCs w:val="24"/>
        </w:rPr>
        <w:t>Pedahzur’s</w:t>
      </w:r>
      <w:proofErr w:type="spellEnd"/>
      <w:r w:rsidRPr="000B3256">
        <w:rPr>
          <w:rFonts w:ascii="Times New Roman" w:hAnsi="Times New Roman"/>
          <w:sz w:val="24"/>
          <w:szCs w:val="24"/>
        </w:rPr>
        <w:t xml:space="preserve"> analysis, the expectation that states taking the ‘militant’ route would be more likely to ban a party</w:t>
      </w:r>
      <w:r w:rsidRPr="006B1996">
        <w:rPr>
          <w:rFonts w:ascii="Times New Roman" w:hAnsi="Times New Roman"/>
          <w:sz w:val="24"/>
          <w:szCs w:val="24"/>
        </w:rPr>
        <w:t xml:space="preserve"> because of </w:t>
      </w:r>
      <w:r>
        <w:rPr>
          <w:rFonts w:ascii="Times New Roman" w:hAnsi="Times New Roman"/>
          <w:sz w:val="24"/>
          <w:szCs w:val="24"/>
        </w:rPr>
        <w:t>a</w:t>
      </w:r>
      <w:r w:rsidRPr="006B1996">
        <w:rPr>
          <w:rFonts w:ascii="Times New Roman" w:hAnsi="Times New Roman"/>
          <w:sz w:val="24"/>
          <w:szCs w:val="24"/>
        </w:rPr>
        <w:t xml:space="preserve"> preference for high intensity and narrowly focused measures</w:t>
      </w:r>
      <w:r>
        <w:rPr>
          <w:rFonts w:ascii="Times New Roman" w:hAnsi="Times New Roman"/>
          <w:sz w:val="24"/>
          <w:szCs w:val="24"/>
        </w:rPr>
        <w:t xml:space="preserve">, is not confirmed </w:t>
      </w:r>
      <w:r w:rsidR="00F66FE1">
        <w:rPr>
          <w:rFonts w:ascii="Times New Roman" w:hAnsi="Times New Roman"/>
          <w:sz w:val="24"/>
          <w:szCs w:val="24"/>
        </w:rPr>
        <w:t xml:space="preserve">in </w:t>
      </w:r>
      <w:r w:rsidRPr="006B1996">
        <w:rPr>
          <w:rFonts w:ascii="Times New Roman" w:hAnsi="Times New Roman"/>
          <w:sz w:val="24"/>
          <w:szCs w:val="24"/>
        </w:rPr>
        <w:t>case stud</w:t>
      </w:r>
      <w:r>
        <w:rPr>
          <w:rFonts w:ascii="Times New Roman" w:hAnsi="Times New Roman"/>
          <w:sz w:val="24"/>
          <w:szCs w:val="24"/>
        </w:rPr>
        <w:t>ies: B</w:t>
      </w:r>
      <w:r w:rsidRPr="006B1996">
        <w:rPr>
          <w:rFonts w:ascii="Times New Roman" w:hAnsi="Times New Roman"/>
          <w:sz w:val="24"/>
          <w:szCs w:val="24"/>
        </w:rPr>
        <w:t xml:space="preserve">an proceedings in Germany and Israel were conducted in accordance with strong commitments to liberal values, and </w:t>
      </w:r>
      <w:r w:rsidRPr="006B1996">
        <w:rPr>
          <w:rFonts w:ascii="Times New Roman" w:hAnsi="Times New Roman"/>
          <w:sz w:val="24"/>
          <w:szCs w:val="24"/>
        </w:rPr>
        <w:lastRenderedPageBreak/>
        <w:t>for that reason</w:t>
      </w:r>
      <w:r>
        <w:rPr>
          <w:rFonts w:ascii="Times New Roman" w:hAnsi="Times New Roman"/>
          <w:sz w:val="24"/>
          <w:szCs w:val="24"/>
        </w:rPr>
        <w:t>, were</w:t>
      </w:r>
      <w:r w:rsidRPr="006B1996">
        <w:rPr>
          <w:rFonts w:ascii="Times New Roman" w:hAnsi="Times New Roman"/>
          <w:sz w:val="24"/>
          <w:szCs w:val="24"/>
        </w:rPr>
        <w:t xml:space="preserve"> characteristic of an ‘immunized’ response to extremism (ibid: 119-20). </w:t>
      </w:r>
      <w:r>
        <w:rPr>
          <w:rFonts w:ascii="Times New Roman" w:hAnsi="Times New Roman"/>
          <w:sz w:val="24"/>
          <w:szCs w:val="24"/>
        </w:rPr>
        <w:t xml:space="preserve">Fox and Nolte’s </w:t>
      </w:r>
      <w:r w:rsidRPr="006B1996">
        <w:rPr>
          <w:rFonts w:ascii="Times New Roman" w:hAnsi="Times New Roman"/>
          <w:sz w:val="24"/>
          <w:szCs w:val="24"/>
        </w:rPr>
        <w:t>model contains logical flaws which make it unsuitable for the generation of hypotheses on proscription</w:t>
      </w:r>
      <w:r>
        <w:rPr>
          <w:rFonts w:ascii="Times New Roman" w:hAnsi="Times New Roman"/>
          <w:sz w:val="24"/>
          <w:szCs w:val="24"/>
        </w:rPr>
        <w:t>:</w:t>
      </w:r>
      <w:r w:rsidRPr="006B1996">
        <w:rPr>
          <w:rFonts w:ascii="Times New Roman" w:hAnsi="Times New Roman"/>
          <w:sz w:val="24"/>
          <w:szCs w:val="24"/>
        </w:rPr>
        <w:t xml:space="preserve"> </w:t>
      </w:r>
      <w:r>
        <w:rPr>
          <w:rFonts w:ascii="Times New Roman" w:hAnsi="Times New Roman"/>
          <w:sz w:val="24"/>
          <w:szCs w:val="24"/>
        </w:rPr>
        <w:t>W</w:t>
      </w:r>
      <w:r w:rsidRPr="006B1996">
        <w:rPr>
          <w:rFonts w:ascii="Times New Roman" w:hAnsi="Times New Roman"/>
          <w:sz w:val="24"/>
          <w:szCs w:val="24"/>
        </w:rPr>
        <w:t>hile the</w:t>
      </w:r>
      <w:r>
        <w:rPr>
          <w:rFonts w:ascii="Times New Roman" w:hAnsi="Times New Roman"/>
          <w:sz w:val="24"/>
          <w:szCs w:val="24"/>
        </w:rPr>
        <w:t>ir</w:t>
      </w:r>
      <w:r w:rsidRPr="006B1996">
        <w:rPr>
          <w:rFonts w:ascii="Times New Roman" w:hAnsi="Times New Roman"/>
          <w:sz w:val="24"/>
          <w:szCs w:val="24"/>
        </w:rPr>
        <w:t xml:space="preserve"> definition of procedural democracies as ‘open to debate and electoral competition among all ideological factions’ (Fox and Nolte, 2000: 389) generates the expectation that procedural democracies are less likely to ban political parties</w:t>
      </w:r>
      <w:r>
        <w:rPr>
          <w:rFonts w:ascii="Times New Roman" w:hAnsi="Times New Roman"/>
          <w:sz w:val="24"/>
          <w:szCs w:val="24"/>
        </w:rPr>
        <w:t>,</w:t>
      </w:r>
      <w:r w:rsidRPr="006B1996">
        <w:rPr>
          <w:rFonts w:ascii="Times New Roman" w:hAnsi="Times New Roman"/>
          <w:sz w:val="24"/>
          <w:szCs w:val="24"/>
        </w:rPr>
        <w:t xml:space="preserve"> the model </w:t>
      </w:r>
      <w:r>
        <w:rPr>
          <w:rFonts w:ascii="Times New Roman" w:hAnsi="Times New Roman"/>
          <w:sz w:val="24"/>
          <w:szCs w:val="24"/>
        </w:rPr>
        <w:t xml:space="preserve">itself </w:t>
      </w:r>
      <w:r w:rsidRPr="006B1996">
        <w:rPr>
          <w:rFonts w:ascii="Times New Roman" w:hAnsi="Times New Roman"/>
          <w:sz w:val="24"/>
          <w:szCs w:val="24"/>
        </w:rPr>
        <w:t xml:space="preserve">acknowledges the empirical reality that procedural democracies do in fact ban political parties. </w:t>
      </w:r>
    </w:p>
    <w:p w:rsidR="00B84156" w:rsidRDefault="0021746F" w:rsidP="00B84156">
      <w:pPr>
        <w:spacing w:line="360" w:lineRule="auto"/>
        <w:rPr>
          <w:rFonts w:ascii="Times New Roman" w:hAnsi="Times New Roman"/>
          <w:sz w:val="24"/>
          <w:szCs w:val="24"/>
        </w:rPr>
      </w:pPr>
      <w:r w:rsidRPr="00C623AC">
        <w:rPr>
          <w:rFonts w:ascii="Times New Roman" w:hAnsi="Times New Roman"/>
          <w:sz w:val="24"/>
          <w:szCs w:val="24"/>
        </w:rPr>
        <w:t xml:space="preserve">The perspective I adopt here, however, moves beyond this literature’s focus on the constitutional foundations of democratic states and </w:t>
      </w:r>
      <w:r>
        <w:rPr>
          <w:rFonts w:ascii="Times New Roman" w:hAnsi="Times New Roman"/>
          <w:sz w:val="24"/>
          <w:szCs w:val="24"/>
        </w:rPr>
        <w:t xml:space="preserve">formal </w:t>
      </w:r>
      <w:r w:rsidRPr="00C623AC">
        <w:rPr>
          <w:rFonts w:ascii="Times New Roman" w:hAnsi="Times New Roman"/>
          <w:sz w:val="24"/>
          <w:szCs w:val="24"/>
        </w:rPr>
        <w:t>contours of government policy</w:t>
      </w:r>
      <w:r>
        <w:rPr>
          <w:rFonts w:ascii="Times New Roman" w:hAnsi="Times New Roman"/>
          <w:sz w:val="24"/>
          <w:szCs w:val="24"/>
        </w:rPr>
        <w:t>. Instead it employs a</w:t>
      </w:r>
      <w:r w:rsidR="00033297">
        <w:rPr>
          <w:rFonts w:ascii="Times New Roman" w:hAnsi="Times New Roman"/>
          <w:sz w:val="24"/>
          <w:szCs w:val="24"/>
        </w:rPr>
        <w:t xml:space="preserve"> discursive </w:t>
      </w:r>
      <w:proofErr w:type="spellStart"/>
      <w:r>
        <w:rPr>
          <w:rFonts w:ascii="Times New Roman" w:hAnsi="Times New Roman"/>
          <w:sz w:val="24"/>
          <w:szCs w:val="24"/>
        </w:rPr>
        <w:t>institutionalist</w:t>
      </w:r>
      <w:proofErr w:type="spellEnd"/>
      <w:r>
        <w:rPr>
          <w:rFonts w:ascii="Times New Roman" w:hAnsi="Times New Roman"/>
          <w:sz w:val="24"/>
          <w:szCs w:val="24"/>
        </w:rPr>
        <w:t xml:space="preserve"> approach</w:t>
      </w:r>
      <w:r w:rsidRPr="00C623AC">
        <w:rPr>
          <w:rFonts w:ascii="Times New Roman" w:hAnsi="Times New Roman"/>
          <w:sz w:val="24"/>
          <w:szCs w:val="24"/>
        </w:rPr>
        <w:t xml:space="preserve"> </w:t>
      </w:r>
      <w:r>
        <w:rPr>
          <w:rFonts w:ascii="Times New Roman" w:hAnsi="Times New Roman"/>
          <w:sz w:val="24"/>
          <w:szCs w:val="24"/>
        </w:rPr>
        <w:t>(</w:t>
      </w:r>
      <w:r w:rsidR="00033297">
        <w:rPr>
          <w:rFonts w:ascii="Times New Roman" w:hAnsi="Times New Roman"/>
          <w:sz w:val="24"/>
          <w:szCs w:val="24"/>
        </w:rPr>
        <w:t xml:space="preserve">Schmidt, 2008; </w:t>
      </w:r>
      <w:r>
        <w:rPr>
          <w:rFonts w:ascii="Times New Roman" w:hAnsi="Times New Roman"/>
          <w:sz w:val="24"/>
          <w:szCs w:val="24"/>
        </w:rPr>
        <w:t>Hay 2002) to account for varying response</w:t>
      </w:r>
      <w:r w:rsidR="00F66FE1">
        <w:rPr>
          <w:rFonts w:ascii="Times New Roman" w:hAnsi="Times New Roman"/>
          <w:sz w:val="24"/>
          <w:szCs w:val="24"/>
        </w:rPr>
        <w:t>s</w:t>
      </w:r>
      <w:r>
        <w:rPr>
          <w:rFonts w:ascii="Times New Roman" w:hAnsi="Times New Roman"/>
          <w:sz w:val="24"/>
          <w:szCs w:val="24"/>
        </w:rPr>
        <w:t xml:space="preserve"> to the ‘proscription dilemma’ outlined above. </w:t>
      </w:r>
      <w:r w:rsidR="00F66FE1">
        <w:rPr>
          <w:rFonts w:ascii="Times New Roman" w:hAnsi="Times New Roman"/>
          <w:sz w:val="24"/>
          <w:szCs w:val="24"/>
        </w:rPr>
        <w:t xml:space="preserve"> In the first part of my argument, I claim that </w:t>
      </w:r>
      <w:r>
        <w:rPr>
          <w:rFonts w:ascii="Times New Roman" w:hAnsi="Times New Roman"/>
          <w:sz w:val="24"/>
          <w:szCs w:val="24"/>
        </w:rPr>
        <w:t xml:space="preserve">in cases involving the political wing of a terrorist group, contrasting </w:t>
      </w:r>
      <w:r w:rsidR="00033297">
        <w:rPr>
          <w:rFonts w:ascii="Times New Roman" w:hAnsi="Times New Roman"/>
          <w:sz w:val="24"/>
          <w:szCs w:val="24"/>
        </w:rPr>
        <w:t xml:space="preserve">discursive </w:t>
      </w:r>
      <w:r>
        <w:rPr>
          <w:rFonts w:ascii="Times New Roman" w:hAnsi="Times New Roman"/>
          <w:sz w:val="24"/>
          <w:szCs w:val="24"/>
        </w:rPr>
        <w:t>constructions of the nature, appropriateness and possible consequences of proscription become the focus of political debate (see Table 3). As analysis of parliamentary speeches in both Spain and the UK (detailed below) will show, those favouring proscription in both countries adopt a ‘</w:t>
      </w:r>
      <w:r w:rsidR="00F66FE1">
        <w:rPr>
          <w:rFonts w:ascii="Times New Roman" w:hAnsi="Times New Roman"/>
          <w:sz w:val="24"/>
          <w:szCs w:val="24"/>
        </w:rPr>
        <w:t xml:space="preserve">discourse </w:t>
      </w:r>
      <w:r>
        <w:rPr>
          <w:rFonts w:ascii="Times New Roman" w:hAnsi="Times New Roman"/>
          <w:sz w:val="24"/>
          <w:szCs w:val="24"/>
        </w:rPr>
        <w:t>of tolerance’ in which the problem of proscription is seen through a ‘law and order’ lens and the party ban an instrument for bringing violent conflict to an end. In contrast, those against proscription embrace a ‘</w:t>
      </w:r>
      <w:r w:rsidR="00F66FE1">
        <w:rPr>
          <w:rFonts w:ascii="Times New Roman" w:hAnsi="Times New Roman"/>
          <w:sz w:val="24"/>
          <w:szCs w:val="24"/>
        </w:rPr>
        <w:t xml:space="preserve">discourse </w:t>
      </w:r>
      <w:r>
        <w:rPr>
          <w:rFonts w:ascii="Times New Roman" w:hAnsi="Times New Roman"/>
          <w:sz w:val="24"/>
          <w:szCs w:val="24"/>
        </w:rPr>
        <w:t xml:space="preserve">of tolerance’ in which the problem of proscription is </w:t>
      </w:r>
      <w:r w:rsidR="00F66FE1">
        <w:rPr>
          <w:rFonts w:ascii="Times New Roman" w:hAnsi="Times New Roman"/>
          <w:sz w:val="24"/>
          <w:szCs w:val="24"/>
        </w:rPr>
        <w:t xml:space="preserve">more firmly </w:t>
      </w:r>
      <w:r>
        <w:rPr>
          <w:rFonts w:ascii="Times New Roman" w:hAnsi="Times New Roman"/>
          <w:sz w:val="24"/>
          <w:szCs w:val="24"/>
        </w:rPr>
        <w:t xml:space="preserve">embedded in a discourse of rights protections and where proscription is seen as inimical to the resolution of conflict underpinning violence. </w:t>
      </w:r>
      <w:r w:rsidRPr="00C623AC">
        <w:rPr>
          <w:rFonts w:ascii="Times New Roman" w:hAnsi="Times New Roman"/>
          <w:sz w:val="24"/>
          <w:szCs w:val="24"/>
        </w:rPr>
        <w:t>As it is used here, tolerance involves ‘putting up with what you oppose’ when another person’s life choices or actions may shock, enrage, frighten or disgust</w:t>
      </w:r>
      <w:r>
        <w:rPr>
          <w:rFonts w:ascii="Times New Roman" w:hAnsi="Times New Roman"/>
          <w:sz w:val="24"/>
          <w:szCs w:val="24"/>
        </w:rPr>
        <w:t xml:space="preserve"> (McKinnon, 2006, 4)</w:t>
      </w:r>
      <w:r w:rsidRPr="00C623AC">
        <w:rPr>
          <w:rFonts w:ascii="Times New Roman" w:hAnsi="Times New Roman"/>
          <w:sz w:val="24"/>
          <w:szCs w:val="24"/>
        </w:rPr>
        <w:t>.</w:t>
      </w:r>
      <w:r w:rsidRPr="00C623AC">
        <w:rPr>
          <w:rStyle w:val="FootnoteReference"/>
          <w:sz w:val="24"/>
          <w:szCs w:val="24"/>
        </w:rPr>
        <w:footnoteReference w:id="34"/>
      </w:r>
      <w:r w:rsidRPr="00C623AC">
        <w:rPr>
          <w:rFonts w:ascii="Times New Roman" w:hAnsi="Times New Roman"/>
          <w:sz w:val="24"/>
          <w:szCs w:val="24"/>
        </w:rPr>
        <w:t xml:space="preserve"> </w:t>
      </w:r>
    </w:p>
    <w:p w:rsidR="00B84156" w:rsidRDefault="00B84156" w:rsidP="00B84156">
      <w:pPr>
        <w:spacing w:line="360" w:lineRule="auto"/>
        <w:rPr>
          <w:rFonts w:ascii="Times New Roman" w:hAnsi="Times New Roman"/>
          <w:sz w:val="24"/>
          <w:szCs w:val="24"/>
        </w:rPr>
      </w:pPr>
      <w:r>
        <w:rPr>
          <w:rFonts w:ascii="Times New Roman" w:hAnsi="Times New Roman"/>
          <w:sz w:val="24"/>
          <w:szCs w:val="24"/>
        </w:rPr>
        <w:t xml:space="preserve">In the context of party competition, a ‘winning coalition’ is required for one discourse to predominate.  However, I argue that both ‘ideas’ and ‘institutions’ matter. As the following section identifying key actors empowered by respective legal arrangements for proscription in Spain and the UK show, veto players </w:t>
      </w:r>
      <w:r w:rsidR="00483B3C">
        <w:rPr>
          <w:rFonts w:ascii="Times New Roman" w:hAnsi="Times New Roman"/>
          <w:sz w:val="24"/>
          <w:szCs w:val="24"/>
        </w:rPr>
        <w:t xml:space="preserve">are an important variable for understanding differences in the </w:t>
      </w:r>
      <w:r>
        <w:rPr>
          <w:rFonts w:ascii="Times New Roman" w:hAnsi="Times New Roman"/>
          <w:sz w:val="24"/>
          <w:szCs w:val="24"/>
        </w:rPr>
        <w:t>substance of state policy on party bans.</w:t>
      </w:r>
    </w:p>
    <w:p w:rsidR="00F66FE1" w:rsidRDefault="00F66FE1" w:rsidP="00081E2D">
      <w:pPr>
        <w:spacing w:line="360" w:lineRule="auto"/>
        <w:rPr>
          <w:rFonts w:ascii="Times New Roman" w:hAnsi="Times New Roman"/>
          <w:sz w:val="24"/>
          <w:szCs w:val="24"/>
        </w:rPr>
      </w:pPr>
    </w:p>
    <w:p w:rsidR="002A6577" w:rsidRDefault="002A6577" w:rsidP="00081E2D">
      <w:pPr>
        <w:spacing w:line="360" w:lineRule="auto"/>
        <w:rPr>
          <w:rFonts w:ascii="Times New Roman" w:hAnsi="Times New Roman"/>
          <w:sz w:val="24"/>
          <w:szCs w:val="24"/>
        </w:rPr>
      </w:pPr>
    </w:p>
    <w:p w:rsidR="002A6577" w:rsidRDefault="002A6577" w:rsidP="00081E2D">
      <w:pPr>
        <w:spacing w:line="360" w:lineRule="auto"/>
        <w:rPr>
          <w:rFonts w:ascii="Times New Roman" w:hAnsi="Times New Roman"/>
          <w:sz w:val="24"/>
          <w:szCs w:val="24"/>
        </w:rPr>
      </w:pPr>
    </w:p>
    <w:p w:rsidR="0021746F" w:rsidRPr="00C623AC" w:rsidRDefault="0021746F" w:rsidP="00F31E5C">
      <w:pPr>
        <w:spacing w:line="360" w:lineRule="auto"/>
        <w:jc w:val="center"/>
        <w:rPr>
          <w:rFonts w:ascii="Times New Roman" w:hAnsi="Times New Roman"/>
          <w:b/>
          <w:sz w:val="24"/>
          <w:szCs w:val="24"/>
        </w:rPr>
      </w:pPr>
      <w:r w:rsidRPr="00C623AC">
        <w:rPr>
          <w:rFonts w:ascii="Times New Roman" w:hAnsi="Times New Roman"/>
          <w:b/>
          <w:sz w:val="24"/>
          <w:szCs w:val="24"/>
        </w:rPr>
        <w:lastRenderedPageBreak/>
        <w:t xml:space="preserve">Table 3: </w:t>
      </w:r>
      <w:r w:rsidR="00033297">
        <w:rPr>
          <w:rFonts w:ascii="Times New Roman" w:hAnsi="Times New Roman"/>
          <w:b/>
          <w:sz w:val="24"/>
          <w:szCs w:val="24"/>
        </w:rPr>
        <w:t xml:space="preserve">Discourses of </w:t>
      </w:r>
      <w:r>
        <w:rPr>
          <w:rFonts w:ascii="Times New Roman" w:hAnsi="Times New Roman"/>
          <w:b/>
          <w:sz w:val="24"/>
          <w:szCs w:val="24"/>
        </w:rPr>
        <w:t>‘tolerance’ and ‘intolerance’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84"/>
        <w:gridCol w:w="3285"/>
        <w:gridCol w:w="3285"/>
      </w:tblGrid>
      <w:tr w:rsidR="0021746F" w:rsidTr="00362397">
        <w:tc>
          <w:tcPr>
            <w:tcW w:w="3284" w:type="dxa"/>
          </w:tcPr>
          <w:p w:rsidR="0021746F" w:rsidRPr="00AC5A4A" w:rsidRDefault="0021746F" w:rsidP="00362397">
            <w:pPr>
              <w:spacing w:line="360" w:lineRule="auto"/>
              <w:rPr>
                <w:rFonts w:ascii="Times New Roman" w:hAnsi="Times New Roman"/>
                <w:sz w:val="24"/>
                <w:szCs w:val="24"/>
              </w:rPr>
            </w:pPr>
          </w:p>
        </w:tc>
        <w:tc>
          <w:tcPr>
            <w:tcW w:w="3285" w:type="dxa"/>
          </w:tcPr>
          <w:p w:rsidR="0021746F" w:rsidRPr="00AC5A4A" w:rsidRDefault="0021746F" w:rsidP="00362397">
            <w:pPr>
              <w:spacing w:line="360" w:lineRule="auto"/>
              <w:rPr>
                <w:rFonts w:ascii="Times New Roman" w:hAnsi="Times New Roman"/>
                <w:b/>
                <w:sz w:val="24"/>
                <w:szCs w:val="24"/>
              </w:rPr>
            </w:pPr>
            <w:r w:rsidRPr="00AC5A4A">
              <w:rPr>
                <w:rFonts w:ascii="Times New Roman" w:hAnsi="Times New Roman"/>
                <w:b/>
                <w:sz w:val="24"/>
                <w:szCs w:val="24"/>
              </w:rPr>
              <w:t>Nature of problem</w:t>
            </w:r>
          </w:p>
        </w:tc>
        <w:tc>
          <w:tcPr>
            <w:tcW w:w="3285" w:type="dxa"/>
          </w:tcPr>
          <w:p w:rsidR="0021746F" w:rsidRPr="00AC5A4A" w:rsidRDefault="0021746F" w:rsidP="00362397">
            <w:pPr>
              <w:spacing w:line="360" w:lineRule="auto"/>
              <w:rPr>
                <w:rFonts w:ascii="Times New Roman" w:hAnsi="Times New Roman"/>
                <w:b/>
                <w:sz w:val="24"/>
                <w:szCs w:val="24"/>
              </w:rPr>
            </w:pPr>
            <w:r w:rsidRPr="00AC5A4A">
              <w:rPr>
                <w:rFonts w:ascii="Times New Roman" w:hAnsi="Times New Roman"/>
                <w:b/>
                <w:sz w:val="24"/>
                <w:szCs w:val="24"/>
              </w:rPr>
              <w:t>Impact on conflict resolution</w:t>
            </w:r>
          </w:p>
        </w:tc>
      </w:tr>
      <w:tr w:rsidR="0021746F" w:rsidTr="00362397">
        <w:tc>
          <w:tcPr>
            <w:tcW w:w="3284" w:type="dxa"/>
          </w:tcPr>
          <w:p w:rsidR="0021746F" w:rsidRPr="00AC5A4A" w:rsidRDefault="00033297" w:rsidP="00033297">
            <w:pPr>
              <w:spacing w:line="360" w:lineRule="auto"/>
              <w:rPr>
                <w:rFonts w:ascii="Times New Roman" w:hAnsi="Times New Roman"/>
                <w:b/>
                <w:sz w:val="24"/>
                <w:szCs w:val="24"/>
              </w:rPr>
            </w:pPr>
            <w:r>
              <w:rPr>
                <w:rFonts w:ascii="Times New Roman" w:hAnsi="Times New Roman"/>
                <w:b/>
                <w:sz w:val="24"/>
                <w:szCs w:val="24"/>
              </w:rPr>
              <w:t xml:space="preserve">Discourse of </w:t>
            </w:r>
            <w:r w:rsidR="0021746F" w:rsidRPr="00AC5A4A">
              <w:rPr>
                <w:rFonts w:ascii="Times New Roman" w:hAnsi="Times New Roman"/>
                <w:b/>
                <w:sz w:val="24"/>
                <w:szCs w:val="24"/>
              </w:rPr>
              <w:t>‘tolerance’</w:t>
            </w:r>
          </w:p>
        </w:tc>
        <w:tc>
          <w:tcPr>
            <w:tcW w:w="3285" w:type="dxa"/>
          </w:tcPr>
          <w:p w:rsidR="0021746F" w:rsidRDefault="0021746F" w:rsidP="00362397">
            <w:pPr>
              <w:spacing w:line="360" w:lineRule="auto"/>
              <w:rPr>
                <w:rFonts w:ascii="Times New Roman" w:hAnsi="Times New Roman"/>
                <w:b/>
                <w:sz w:val="24"/>
                <w:szCs w:val="24"/>
              </w:rPr>
            </w:pPr>
            <w:r w:rsidRPr="00D416F6">
              <w:rPr>
                <w:rFonts w:ascii="Times New Roman" w:hAnsi="Times New Roman"/>
                <w:b/>
                <w:sz w:val="24"/>
                <w:szCs w:val="24"/>
              </w:rPr>
              <w:t>Political rights</w:t>
            </w:r>
          </w:p>
          <w:p w:rsidR="00033297" w:rsidRDefault="00033297" w:rsidP="00033297">
            <w:pPr>
              <w:spacing w:line="360" w:lineRule="auto"/>
              <w:rPr>
                <w:rFonts w:ascii="Times New Roman" w:hAnsi="Times New Roman"/>
                <w:sz w:val="24"/>
                <w:szCs w:val="24"/>
              </w:rPr>
            </w:pPr>
            <w:r w:rsidRPr="00D416F6">
              <w:rPr>
                <w:rFonts w:ascii="Times New Roman" w:hAnsi="Times New Roman"/>
                <w:sz w:val="24"/>
                <w:szCs w:val="24"/>
              </w:rPr>
              <w:t>Acknowledge role of party in conduct of campaigns of violence against the state, but inclined to consider other factors too.</w:t>
            </w:r>
          </w:p>
          <w:p w:rsidR="0021746F" w:rsidRDefault="0021746F" w:rsidP="00362397">
            <w:pPr>
              <w:spacing w:line="360" w:lineRule="auto"/>
              <w:rPr>
                <w:rFonts w:ascii="Times New Roman" w:hAnsi="Times New Roman"/>
                <w:sz w:val="24"/>
                <w:szCs w:val="24"/>
              </w:rPr>
            </w:pPr>
            <w:r>
              <w:rPr>
                <w:rFonts w:ascii="Times New Roman" w:hAnsi="Times New Roman"/>
                <w:sz w:val="24"/>
                <w:szCs w:val="24"/>
              </w:rPr>
              <w:t>Emphasis on importance of parties for realisation of rights to free speech.</w:t>
            </w:r>
          </w:p>
          <w:p w:rsidR="0021746F" w:rsidRDefault="0021746F" w:rsidP="00362397">
            <w:pPr>
              <w:spacing w:line="360" w:lineRule="auto"/>
              <w:rPr>
                <w:rFonts w:ascii="Times New Roman" w:hAnsi="Times New Roman"/>
                <w:sz w:val="24"/>
                <w:szCs w:val="24"/>
              </w:rPr>
            </w:pPr>
            <w:r>
              <w:rPr>
                <w:rFonts w:ascii="Times New Roman" w:hAnsi="Times New Roman"/>
                <w:sz w:val="24"/>
                <w:szCs w:val="24"/>
              </w:rPr>
              <w:t>Emphasis on importance of parties for representation of citizens in democratic competition</w:t>
            </w:r>
          </w:p>
          <w:p w:rsidR="0021746F" w:rsidRDefault="0021746F" w:rsidP="00362397">
            <w:pPr>
              <w:spacing w:line="360" w:lineRule="auto"/>
              <w:rPr>
                <w:rFonts w:ascii="Times New Roman" w:hAnsi="Times New Roman"/>
                <w:sz w:val="24"/>
                <w:szCs w:val="24"/>
              </w:rPr>
            </w:pPr>
            <w:r>
              <w:rPr>
                <w:rFonts w:ascii="Times New Roman" w:hAnsi="Times New Roman"/>
                <w:sz w:val="24"/>
                <w:szCs w:val="24"/>
              </w:rPr>
              <w:t>Opt for sanctioning individuals for criminal activities rather than treating party itself as a criminal organisation</w:t>
            </w:r>
          </w:p>
          <w:p w:rsidR="0021746F" w:rsidRPr="00D416F6" w:rsidRDefault="0021746F" w:rsidP="00362397">
            <w:pPr>
              <w:spacing w:line="360" w:lineRule="auto"/>
              <w:rPr>
                <w:rFonts w:ascii="Times New Roman" w:hAnsi="Times New Roman"/>
                <w:sz w:val="24"/>
                <w:szCs w:val="24"/>
              </w:rPr>
            </w:pPr>
          </w:p>
        </w:tc>
        <w:tc>
          <w:tcPr>
            <w:tcW w:w="3285" w:type="dxa"/>
          </w:tcPr>
          <w:p w:rsidR="0021746F" w:rsidRPr="00D416F6" w:rsidRDefault="0021746F" w:rsidP="00362397">
            <w:pPr>
              <w:spacing w:line="360" w:lineRule="auto"/>
              <w:rPr>
                <w:rFonts w:ascii="Times New Roman" w:hAnsi="Times New Roman"/>
                <w:b/>
                <w:sz w:val="24"/>
                <w:szCs w:val="24"/>
              </w:rPr>
            </w:pPr>
            <w:r>
              <w:rPr>
                <w:rFonts w:ascii="Times New Roman" w:hAnsi="Times New Roman"/>
                <w:b/>
                <w:sz w:val="24"/>
                <w:szCs w:val="24"/>
              </w:rPr>
              <w:t xml:space="preserve">Negative consequences </w:t>
            </w:r>
          </w:p>
          <w:p w:rsidR="0021746F" w:rsidRDefault="0021746F" w:rsidP="00362397">
            <w:pPr>
              <w:spacing w:line="360" w:lineRule="auto"/>
              <w:rPr>
                <w:rFonts w:ascii="Times New Roman" w:hAnsi="Times New Roman"/>
                <w:sz w:val="24"/>
                <w:szCs w:val="24"/>
              </w:rPr>
            </w:pPr>
            <w:r>
              <w:rPr>
                <w:rFonts w:ascii="Times New Roman" w:hAnsi="Times New Roman"/>
                <w:sz w:val="24"/>
                <w:szCs w:val="24"/>
              </w:rPr>
              <w:t xml:space="preserve">Proscription will prevent parties from articulating grievances in democratic </w:t>
            </w:r>
            <w:r w:rsidR="00033297">
              <w:rPr>
                <w:rFonts w:ascii="Times New Roman" w:hAnsi="Times New Roman"/>
                <w:sz w:val="24"/>
                <w:szCs w:val="24"/>
              </w:rPr>
              <w:t>for a and thus intensify violence</w:t>
            </w:r>
          </w:p>
          <w:p w:rsidR="0021746F" w:rsidRDefault="0021746F" w:rsidP="00362397">
            <w:pPr>
              <w:spacing w:line="360" w:lineRule="auto"/>
              <w:rPr>
                <w:rFonts w:ascii="Times New Roman" w:hAnsi="Times New Roman"/>
                <w:sz w:val="24"/>
                <w:szCs w:val="24"/>
              </w:rPr>
            </w:pPr>
            <w:r>
              <w:rPr>
                <w:rFonts w:ascii="Times New Roman" w:hAnsi="Times New Roman"/>
                <w:sz w:val="24"/>
                <w:szCs w:val="24"/>
              </w:rPr>
              <w:t xml:space="preserve">Proscription will mean grievances about discrimination underpinning conflict </w:t>
            </w:r>
            <w:r w:rsidR="00033297">
              <w:rPr>
                <w:rFonts w:ascii="Times New Roman" w:hAnsi="Times New Roman"/>
                <w:sz w:val="24"/>
                <w:szCs w:val="24"/>
              </w:rPr>
              <w:t xml:space="preserve">are not addressed </w:t>
            </w:r>
          </w:p>
          <w:p w:rsidR="0021746F" w:rsidRDefault="0021746F" w:rsidP="00362397">
            <w:pPr>
              <w:spacing w:line="360" w:lineRule="auto"/>
              <w:rPr>
                <w:rFonts w:ascii="Times New Roman" w:hAnsi="Times New Roman"/>
                <w:sz w:val="24"/>
                <w:szCs w:val="24"/>
              </w:rPr>
            </w:pPr>
            <w:r>
              <w:rPr>
                <w:rFonts w:ascii="Times New Roman" w:hAnsi="Times New Roman"/>
                <w:sz w:val="24"/>
                <w:szCs w:val="24"/>
              </w:rPr>
              <w:t>Proscription may deepen social tensions.</w:t>
            </w:r>
          </w:p>
          <w:p w:rsidR="0021746F" w:rsidRDefault="0021746F" w:rsidP="00362397">
            <w:pPr>
              <w:spacing w:line="360" w:lineRule="auto"/>
              <w:rPr>
                <w:rFonts w:ascii="Times New Roman" w:hAnsi="Times New Roman"/>
                <w:sz w:val="24"/>
                <w:szCs w:val="24"/>
              </w:rPr>
            </w:pPr>
            <w:r>
              <w:rPr>
                <w:rFonts w:ascii="Times New Roman" w:hAnsi="Times New Roman"/>
                <w:sz w:val="24"/>
                <w:szCs w:val="24"/>
              </w:rPr>
              <w:t>Proscription will strengthen the military wing by fostering ‘</w:t>
            </w:r>
            <w:proofErr w:type="spellStart"/>
            <w:r>
              <w:rPr>
                <w:rFonts w:ascii="Times New Roman" w:hAnsi="Times New Roman"/>
                <w:sz w:val="24"/>
                <w:szCs w:val="24"/>
              </w:rPr>
              <w:t>victimism</w:t>
            </w:r>
            <w:proofErr w:type="spellEnd"/>
            <w:r>
              <w:rPr>
                <w:rFonts w:ascii="Times New Roman" w:hAnsi="Times New Roman"/>
                <w:sz w:val="24"/>
                <w:szCs w:val="24"/>
              </w:rPr>
              <w:t>’ and creating new martyrs</w:t>
            </w:r>
          </w:p>
          <w:p w:rsidR="0021746F" w:rsidRDefault="0021746F" w:rsidP="00362397">
            <w:pPr>
              <w:spacing w:line="360" w:lineRule="auto"/>
              <w:rPr>
                <w:rFonts w:ascii="Times New Roman" w:hAnsi="Times New Roman"/>
                <w:sz w:val="24"/>
                <w:szCs w:val="24"/>
              </w:rPr>
            </w:pPr>
            <w:r>
              <w:rPr>
                <w:rFonts w:ascii="Times New Roman" w:hAnsi="Times New Roman"/>
                <w:sz w:val="24"/>
                <w:szCs w:val="24"/>
              </w:rPr>
              <w:t>Proscription will reduce chance that political wing may lead</w:t>
            </w:r>
            <w:r w:rsidRPr="00AC5A4A">
              <w:rPr>
                <w:rFonts w:ascii="Times New Roman" w:hAnsi="Times New Roman"/>
                <w:sz w:val="24"/>
                <w:szCs w:val="24"/>
              </w:rPr>
              <w:t xml:space="preserve"> military wing out of violence</w:t>
            </w:r>
          </w:p>
          <w:p w:rsidR="0021746F" w:rsidRDefault="0021746F" w:rsidP="00362397">
            <w:pPr>
              <w:spacing w:line="360" w:lineRule="auto"/>
              <w:rPr>
                <w:rFonts w:ascii="Times New Roman" w:hAnsi="Times New Roman"/>
                <w:sz w:val="24"/>
                <w:szCs w:val="24"/>
              </w:rPr>
            </w:pPr>
            <w:r>
              <w:rPr>
                <w:rFonts w:ascii="Times New Roman" w:hAnsi="Times New Roman"/>
                <w:sz w:val="24"/>
                <w:szCs w:val="24"/>
              </w:rPr>
              <w:t>Proscription may not be effective</w:t>
            </w:r>
          </w:p>
          <w:p w:rsidR="0021746F" w:rsidRPr="00AC5A4A" w:rsidRDefault="0021746F" w:rsidP="00362397">
            <w:pPr>
              <w:spacing w:line="360" w:lineRule="auto"/>
              <w:rPr>
                <w:rFonts w:ascii="Times New Roman" w:hAnsi="Times New Roman"/>
                <w:sz w:val="24"/>
                <w:szCs w:val="24"/>
              </w:rPr>
            </w:pPr>
            <w:r>
              <w:rPr>
                <w:rFonts w:ascii="Times New Roman" w:hAnsi="Times New Roman"/>
                <w:sz w:val="24"/>
                <w:szCs w:val="24"/>
              </w:rPr>
              <w:t xml:space="preserve">Proscription is only appropriate for ‘emergency’ situations. </w:t>
            </w:r>
          </w:p>
        </w:tc>
      </w:tr>
      <w:tr w:rsidR="0021746F" w:rsidTr="00362397">
        <w:tc>
          <w:tcPr>
            <w:tcW w:w="3284" w:type="dxa"/>
          </w:tcPr>
          <w:p w:rsidR="0021746F" w:rsidRPr="00AC5A4A" w:rsidRDefault="00033297" w:rsidP="00362397">
            <w:pPr>
              <w:spacing w:line="360" w:lineRule="auto"/>
              <w:rPr>
                <w:rFonts w:ascii="Times New Roman" w:hAnsi="Times New Roman"/>
                <w:b/>
                <w:sz w:val="24"/>
                <w:szCs w:val="24"/>
              </w:rPr>
            </w:pPr>
            <w:r>
              <w:rPr>
                <w:rFonts w:ascii="Times New Roman" w:hAnsi="Times New Roman"/>
                <w:b/>
                <w:sz w:val="24"/>
                <w:szCs w:val="24"/>
              </w:rPr>
              <w:t xml:space="preserve">Discourse of </w:t>
            </w:r>
            <w:r w:rsidR="0021746F" w:rsidRPr="00AC5A4A">
              <w:rPr>
                <w:rFonts w:ascii="Times New Roman" w:hAnsi="Times New Roman"/>
                <w:b/>
                <w:sz w:val="24"/>
                <w:szCs w:val="24"/>
              </w:rPr>
              <w:t>‘intolerance’</w:t>
            </w:r>
          </w:p>
        </w:tc>
        <w:tc>
          <w:tcPr>
            <w:tcW w:w="3285" w:type="dxa"/>
          </w:tcPr>
          <w:p w:rsidR="0021746F" w:rsidRPr="00D416F6" w:rsidRDefault="0021746F" w:rsidP="00362397">
            <w:pPr>
              <w:spacing w:line="360" w:lineRule="auto"/>
              <w:rPr>
                <w:rFonts w:ascii="Times New Roman" w:hAnsi="Times New Roman"/>
                <w:b/>
                <w:sz w:val="24"/>
                <w:szCs w:val="24"/>
              </w:rPr>
            </w:pPr>
            <w:r w:rsidRPr="00D416F6">
              <w:rPr>
                <w:rFonts w:ascii="Times New Roman" w:hAnsi="Times New Roman"/>
                <w:b/>
                <w:sz w:val="24"/>
                <w:szCs w:val="24"/>
              </w:rPr>
              <w:t xml:space="preserve">Law and order </w:t>
            </w:r>
          </w:p>
          <w:p w:rsidR="0021746F" w:rsidRDefault="0021746F" w:rsidP="00362397">
            <w:pPr>
              <w:spacing w:line="360" w:lineRule="auto"/>
              <w:rPr>
                <w:rFonts w:ascii="Times New Roman" w:hAnsi="Times New Roman"/>
                <w:sz w:val="24"/>
                <w:szCs w:val="24"/>
              </w:rPr>
            </w:pPr>
            <w:r>
              <w:rPr>
                <w:rFonts w:ascii="Times New Roman" w:hAnsi="Times New Roman"/>
                <w:sz w:val="24"/>
                <w:szCs w:val="24"/>
              </w:rPr>
              <w:t xml:space="preserve">Primary emphasis on the role of party in conduct of </w:t>
            </w:r>
            <w:r>
              <w:rPr>
                <w:rFonts w:ascii="Times New Roman" w:hAnsi="Times New Roman"/>
                <w:sz w:val="24"/>
                <w:szCs w:val="24"/>
              </w:rPr>
              <w:lastRenderedPageBreak/>
              <w:t xml:space="preserve">campaigns of violence against the state  </w:t>
            </w:r>
          </w:p>
          <w:p w:rsidR="0021746F" w:rsidRDefault="0021746F" w:rsidP="00362397">
            <w:pPr>
              <w:spacing w:line="360" w:lineRule="auto"/>
              <w:rPr>
                <w:rFonts w:ascii="Times New Roman" w:hAnsi="Times New Roman"/>
                <w:sz w:val="24"/>
                <w:szCs w:val="24"/>
              </w:rPr>
            </w:pPr>
            <w:r>
              <w:rPr>
                <w:rFonts w:ascii="Times New Roman" w:hAnsi="Times New Roman"/>
                <w:sz w:val="24"/>
                <w:szCs w:val="24"/>
              </w:rPr>
              <w:t>Political wing of terrorist group is a threat to democratic life</w:t>
            </w:r>
          </w:p>
          <w:p w:rsidR="0021746F" w:rsidRDefault="0021746F" w:rsidP="00362397">
            <w:pPr>
              <w:spacing w:line="360" w:lineRule="auto"/>
              <w:rPr>
                <w:rFonts w:ascii="Times New Roman" w:hAnsi="Times New Roman"/>
                <w:sz w:val="24"/>
                <w:szCs w:val="24"/>
              </w:rPr>
            </w:pPr>
            <w:r>
              <w:rPr>
                <w:rFonts w:ascii="Times New Roman" w:hAnsi="Times New Roman"/>
                <w:sz w:val="24"/>
                <w:szCs w:val="24"/>
              </w:rPr>
              <w:t>There should be no distinctions between political and military components of terrorist organisations.</w:t>
            </w:r>
          </w:p>
          <w:p w:rsidR="0021746F" w:rsidRDefault="0021746F" w:rsidP="00362397">
            <w:pPr>
              <w:spacing w:line="360" w:lineRule="auto"/>
              <w:rPr>
                <w:rFonts w:ascii="Times New Roman" w:hAnsi="Times New Roman"/>
                <w:sz w:val="24"/>
                <w:szCs w:val="24"/>
              </w:rPr>
            </w:pPr>
            <w:r>
              <w:rPr>
                <w:rFonts w:ascii="Times New Roman" w:hAnsi="Times New Roman"/>
                <w:sz w:val="24"/>
                <w:szCs w:val="24"/>
              </w:rPr>
              <w:t>Political parties linked to terrorist groups are not ‘normal’ political parties entitled to liberties and privileges of parties in democratic state</w:t>
            </w:r>
          </w:p>
          <w:p w:rsidR="0021746F" w:rsidRPr="00AC5A4A" w:rsidRDefault="0021746F" w:rsidP="00362397">
            <w:pPr>
              <w:spacing w:line="360" w:lineRule="auto"/>
              <w:rPr>
                <w:rFonts w:ascii="Times New Roman" w:hAnsi="Times New Roman"/>
                <w:sz w:val="24"/>
                <w:szCs w:val="24"/>
              </w:rPr>
            </w:pPr>
          </w:p>
        </w:tc>
        <w:tc>
          <w:tcPr>
            <w:tcW w:w="3285" w:type="dxa"/>
          </w:tcPr>
          <w:p w:rsidR="0021746F" w:rsidRPr="00D416F6" w:rsidRDefault="0021746F" w:rsidP="00362397">
            <w:pPr>
              <w:spacing w:line="360" w:lineRule="auto"/>
              <w:rPr>
                <w:rFonts w:ascii="Times New Roman" w:hAnsi="Times New Roman"/>
                <w:b/>
                <w:sz w:val="24"/>
                <w:szCs w:val="24"/>
              </w:rPr>
            </w:pPr>
            <w:r w:rsidRPr="00D416F6">
              <w:rPr>
                <w:rFonts w:ascii="Times New Roman" w:hAnsi="Times New Roman"/>
                <w:b/>
                <w:sz w:val="24"/>
                <w:szCs w:val="24"/>
              </w:rPr>
              <w:lastRenderedPageBreak/>
              <w:t>Positive consequences</w:t>
            </w:r>
          </w:p>
          <w:p w:rsidR="0021746F" w:rsidRDefault="0021746F" w:rsidP="00362397">
            <w:pPr>
              <w:spacing w:line="360" w:lineRule="auto"/>
              <w:rPr>
                <w:rFonts w:ascii="Times New Roman" w:hAnsi="Times New Roman"/>
                <w:sz w:val="24"/>
                <w:szCs w:val="24"/>
              </w:rPr>
            </w:pPr>
            <w:r>
              <w:rPr>
                <w:rFonts w:ascii="Times New Roman" w:hAnsi="Times New Roman"/>
                <w:sz w:val="24"/>
                <w:szCs w:val="24"/>
              </w:rPr>
              <w:t xml:space="preserve">Political wing not likely to lead </w:t>
            </w:r>
            <w:r>
              <w:rPr>
                <w:rFonts w:ascii="Times New Roman" w:hAnsi="Times New Roman"/>
                <w:sz w:val="24"/>
                <w:szCs w:val="24"/>
              </w:rPr>
              <w:lastRenderedPageBreak/>
              <w:t xml:space="preserve">military wing out of violence </w:t>
            </w:r>
          </w:p>
          <w:p w:rsidR="0021746F" w:rsidRDefault="0021746F" w:rsidP="00362397">
            <w:pPr>
              <w:spacing w:line="360" w:lineRule="auto"/>
              <w:rPr>
                <w:rFonts w:ascii="Times New Roman" w:hAnsi="Times New Roman"/>
                <w:sz w:val="24"/>
                <w:szCs w:val="24"/>
              </w:rPr>
            </w:pPr>
            <w:r>
              <w:rPr>
                <w:rFonts w:ascii="Times New Roman" w:hAnsi="Times New Roman"/>
                <w:sz w:val="24"/>
                <w:szCs w:val="24"/>
              </w:rPr>
              <w:t>Ban will contribute to end of violence by denying paramilitary wing political resources to support its campaign</w:t>
            </w:r>
          </w:p>
          <w:p w:rsidR="0021746F" w:rsidRPr="00AC5A4A" w:rsidRDefault="0021746F" w:rsidP="00362397">
            <w:pPr>
              <w:spacing w:line="360" w:lineRule="auto"/>
              <w:rPr>
                <w:rFonts w:ascii="Times New Roman" w:hAnsi="Times New Roman"/>
                <w:sz w:val="24"/>
                <w:szCs w:val="24"/>
              </w:rPr>
            </w:pPr>
          </w:p>
        </w:tc>
      </w:tr>
    </w:tbl>
    <w:p w:rsidR="0021746F" w:rsidRDefault="0021746F" w:rsidP="00F31E5C"/>
    <w:p w:rsidR="0021746F" w:rsidRPr="006F2C26" w:rsidRDefault="003A0DD2" w:rsidP="00B8506C">
      <w:pPr>
        <w:spacing w:before="100" w:beforeAutospacing="1" w:after="100" w:afterAutospacing="1" w:line="360" w:lineRule="auto"/>
        <w:rPr>
          <w:rFonts w:ascii="Times New Roman" w:hAnsi="Times New Roman"/>
          <w:b/>
          <w:sz w:val="24"/>
          <w:szCs w:val="24"/>
        </w:rPr>
      </w:pPr>
      <w:r>
        <w:rPr>
          <w:rFonts w:ascii="Times New Roman" w:hAnsi="Times New Roman"/>
          <w:b/>
          <w:sz w:val="24"/>
          <w:szCs w:val="24"/>
        </w:rPr>
        <w:t>Discourses of tolerance and intolerance in Spain and the UK</w:t>
      </w:r>
    </w:p>
    <w:p w:rsidR="0021746F" w:rsidRDefault="0021746F" w:rsidP="00B8506C">
      <w:pPr>
        <w:spacing w:line="360" w:lineRule="auto"/>
        <w:rPr>
          <w:rFonts w:ascii="Times New Roman" w:hAnsi="Times New Roman"/>
          <w:sz w:val="24"/>
          <w:szCs w:val="24"/>
        </w:rPr>
      </w:pPr>
      <w:r>
        <w:rPr>
          <w:rFonts w:ascii="Times New Roman" w:hAnsi="Times New Roman"/>
          <w:sz w:val="24"/>
          <w:szCs w:val="24"/>
        </w:rPr>
        <w:t>The two contrasting paradigmatic constructions of appropriate responses to the ‘proscription dilemma’ can be observed in parliamentary speeches on proscription by members of governing and opposition parties in the UK and Spain. Parliamentary speeches analysed coincided with four ‘critical junctures’ in state policy on proscription in each case. In the Spanish case these are: 1) 1978 debates on article 6 (on political parties) of the draft constitution laying the foundations of the democratic state</w:t>
      </w:r>
      <w:r>
        <w:rPr>
          <w:rStyle w:val="FootnoteReference"/>
          <w:sz w:val="24"/>
          <w:szCs w:val="24"/>
        </w:rPr>
        <w:footnoteReference w:id="35"/>
      </w:r>
      <w:r>
        <w:rPr>
          <w:rFonts w:ascii="Times New Roman" w:hAnsi="Times New Roman"/>
          <w:sz w:val="24"/>
          <w:szCs w:val="24"/>
        </w:rPr>
        <w:t xml:space="preserve"> 2) 1978 debates on the Law 54/1978, first party law;</w:t>
      </w:r>
      <w:r>
        <w:rPr>
          <w:rStyle w:val="FootnoteReference"/>
          <w:sz w:val="24"/>
          <w:szCs w:val="24"/>
        </w:rPr>
        <w:footnoteReference w:id="36"/>
      </w:r>
      <w:r>
        <w:rPr>
          <w:rFonts w:ascii="Times New Roman" w:hAnsi="Times New Roman"/>
          <w:sz w:val="24"/>
          <w:szCs w:val="24"/>
        </w:rPr>
        <w:t xml:space="preserve"> 3) </w:t>
      </w:r>
      <w:r w:rsidRPr="00606079">
        <w:rPr>
          <w:rFonts w:ascii="Times New Roman" w:hAnsi="Times New Roman"/>
          <w:sz w:val="24"/>
          <w:szCs w:val="24"/>
        </w:rPr>
        <w:t>1988</w:t>
      </w:r>
      <w:r>
        <w:rPr>
          <w:rFonts w:ascii="Times New Roman" w:hAnsi="Times New Roman"/>
          <w:sz w:val="24"/>
          <w:szCs w:val="24"/>
        </w:rPr>
        <w:t xml:space="preserve"> debates on motions calling for the government to ban </w:t>
      </w:r>
      <w:proofErr w:type="spellStart"/>
      <w:r w:rsidRPr="00606079">
        <w:rPr>
          <w:rFonts w:ascii="Times New Roman" w:hAnsi="Times New Roman"/>
          <w:i/>
          <w:sz w:val="24"/>
          <w:szCs w:val="24"/>
        </w:rPr>
        <w:t>Herri</w:t>
      </w:r>
      <w:proofErr w:type="spellEnd"/>
      <w:r w:rsidRPr="00606079">
        <w:rPr>
          <w:rFonts w:ascii="Times New Roman" w:hAnsi="Times New Roman"/>
          <w:i/>
          <w:sz w:val="24"/>
          <w:szCs w:val="24"/>
        </w:rPr>
        <w:t xml:space="preserve"> </w:t>
      </w:r>
      <w:proofErr w:type="spellStart"/>
      <w:r w:rsidRPr="00606079">
        <w:rPr>
          <w:rFonts w:ascii="Times New Roman" w:hAnsi="Times New Roman"/>
          <w:i/>
          <w:sz w:val="24"/>
          <w:szCs w:val="24"/>
        </w:rPr>
        <w:t>Batasuna</w:t>
      </w:r>
      <w:proofErr w:type="spellEnd"/>
      <w:r>
        <w:rPr>
          <w:rFonts w:ascii="Times New Roman" w:hAnsi="Times New Roman"/>
          <w:sz w:val="24"/>
          <w:szCs w:val="24"/>
        </w:rPr>
        <w:t>;</w:t>
      </w:r>
      <w:r>
        <w:rPr>
          <w:rStyle w:val="FootnoteReference"/>
          <w:sz w:val="24"/>
          <w:szCs w:val="24"/>
        </w:rPr>
        <w:footnoteReference w:id="37"/>
      </w:r>
      <w:r>
        <w:rPr>
          <w:rFonts w:ascii="Times New Roman" w:hAnsi="Times New Roman"/>
          <w:sz w:val="24"/>
          <w:szCs w:val="24"/>
        </w:rPr>
        <w:t xml:space="preserve"> and 4) debate on the new 2002 Party </w:t>
      </w:r>
      <w:r>
        <w:rPr>
          <w:rFonts w:ascii="Times New Roman" w:hAnsi="Times New Roman"/>
          <w:sz w:val="24"/>
          <w:szCs w:val="24"/>
        </w:rPr>
        <w:lastRenderedPageBreak/>
        <w:t xml:space="preserve">Law that precipitated the proscription of HB, EH and </w:t>
      </w:r>
      <w:proofErr w:type="spellStart"/>
      <w:r w:rsidRPr="00D053FE">
        <w:rPr>
          <w:rFonts w:ascii="Times New Roman" w:hAnsi="Times New Roman"/>
          <w:i/>
          <w:sz w:val="24"/>
          <w:szCs w:val="24"/>
        </w:rPr>
        <w:t>Batasuna</w:t>
      </w:r>
      <w:proofErr w:type="spellEnd"/>
      <w:r>
        <w:rPr>
          <w:rFonts w:ascii="Times New Roman" w:hAnsi="Times New Roman"/>
          <w:sz w:val="24"/>
          <w:szCs w:val="24"/>
        </w:rPr>
        <w:t xml:space="preserve"> in 2003.</w:t>
      </w:r>
      <w:r>
        <w:rPr>
          <w:rStyle w:val="FootnoteReference"/>
          <w:sz w:val="24"/>
          <w:szCs w:val="24"/>
        </w:rPr>
        <w:footnoteReference w:id="38"/>
      </w:r>
      <w:r>
        <w:rPr>
          <w:rFonts w:ascii="Times New Roman" w:hAnsi="Times New Roman"/>
          <w:sz w:val="24"/>
          <w:szCs w:val="24"/>
        </w:rPr>
        <w:t xml:space="preserve">  In the UK case parliamentary debates analysed are: 1) 1956 debates in the Northern Ireland Stormont Parliament on measures which soon came to including proscription, taken against republican organisations in the aftermath the IRA’s Border Campaign</w:t>
      </w:r>
      <w:r>
        <w:rPr>
          <w:rStyle w:val="FootnoteReference"/>
          <w:sz w:val="24"/>
          <w:szCs w:val="24"/>
        </w:rPr>
        <w:footnoteReference w:id="39"/>
      </w:r>
      <w:r>
        <w:rPr>
          <w:rFonts w:ascii="Times New Roman" w:hAnsi="Times New Roman"/>
          <w:sz w:val="24"/>
          <w:szCs w:val="24"/>
        </w:rPr>
        <w:t>; 2) 1967 debates in the Northern Ireland Stormont Parliament on the proscription of Republican Clubs</w:t>
      </w:r>
      <w:r>
        <w:rPr>
          <w:rStyle w:val="FootnoteReference"/>
          <w:sz w:val="24"/>
          <w:szCs w:val="24"/>
        </w:rPr>
        <w:footnoteReference w:id="40"/>
      </w:r>
      <w:r>
        <w:rPr>
          <w:rFonts w:ascii="Times New Roman" w:hAnsi="Times New Roman"/>
          <w:sz w:val="24"/>
          <w:szCs w:val="24"/>
        </w:rPr>
        <w:t>; 3) 1973 debates on the legalisation of Republican Clubs</w:t>
      </w:r>
      <w:r>
        <w:rPr>
          <w:rStyle w:val="FootnoteReference"/>
          <w:sz w:val="24"/>
          <w:szCs w:val="24"/>
        </w:rPr>
        <w:footnoteReference w:id="41"/>
      </w:r>
      <w:r>
        <w:rPr>
          <w:rFonts w:ascii="Times New Roman" w:hAnsi="Times New Roman"/>
          <w:sz w:val="24"/>
          <w:szCs w:val="24"/>
        </w:rPr>
        <w:t xml:space="preserve"> and 4) 1974 debates on the legalisation of Sinn </w:t>
      </w:r>
      <w:proofErr w:type="spellStart"/>
      <w:r>
        <w:rPr>
          <w:rFonts w:ascii="Times New Roman" w:hAnsi="Times New Roman"/>
          <w:sz w:val="24"/>
          <w:szCs w:val="24"/>
        </w:rPr>
        <w:t>Féin</w:t>
      </w:r>
      <w:proofErr w:type="spellEnd"/>
      <w:r>
        <w:rPr>
          <w:rFonts w:ascii="Times New Roman" w:hAnsi="Times New Roman"/>
          <w:sz w:val="24"/>
          <w:szCs w:val="24"/>
        </w:rPr>
        <w:t>.</w:t>
      </w:r>
      <w:r>
        <w:rPr>
          <w:rStyle w:val="FootnoteReference"/>
          <w:sz w:val="24"/>
          <w:szCs w:val="24"/>
        </w:rPr>
        <w:footnoteReference w:id="42"/>
      </w:r>
      <w:r>
        <w:rPr>
          <w:rFonts w:ascii="Times New Roman" w:hAnsi="Times New Roman"/>
          <w:sz w:val="24"/>
          <w:szCs w:val="24"/>
        </w:rPr>
        <w:t xml:space="preserve"> Where available, I also refer other official statements on proscription, such as the March 1973 </w:t>
      </w:r>
      <w:r w:rsidRPr="00591BB1">
        <w:rPr>
          <w:rFonts w:ascii="Times New Roman" w:hAnsi="Times New Roman"/>
          <w:i/>
          <w:sz w:val="24"/>
          <w:szCs w:val="24"/>
        </w:rPr>
        <w:t>Northern Ireland Constitutional Proposals</w:t>
      </w:r>
      <w:r>
        <w:rPr>
          <w:rFonts w:ascii="Times New Roman" w:hAnsi="Times New Roman"/>
          <w:sz w:val="24"/>
          <w:szCs w:val="24"/>
        </w:rPr>
        <w:t>.</w:t>
      </w:r>
      <w:r>
        <w:rPr>
          <w:rStyle w:val="FootnoteReference"/>
          <w:sz w:val="24"/>
          <w:szCs w:val="24"/>
        </w:rPr>
        <w:footnoteReference w:id="43"/>
      </w:r>
      <w:r>
        <w:rPr>
          <w:rFonts w:ascii="Times New Roman" w:hAnsi="Times New Roman"/>
          <w:sz w:val="24"/>
          <w:szCs w:val="24"/>
        </w:rPr>
        <w:t xml:space="preserve"> </w:t>
      </w:r>
    </w:p>
    <w:p w:rsidR="00C2511F" w:rsidRDefault="00C2511F" w:rsidP="00B8506C">
      <w:pPr>
        <w:spacing w:line="360" w:lineRule="auto"/>
        <w:rPr>
          <w:rFonts w:ascii="Times New Roman" w:hAnsi="Times New Roman"/>
          <w:b/>
          <w:i/>
          <w:sz w:val="24"/>
          <w:szCs w:val="24"/>
        </w:rPr>
      </w:pPr>
      <w:r>
        <w:rPr>
          <w:rFonts w:ascii="Times New Roman" w:hAnsi="Times New Roman"/>
          <w:b/>
          <w:i/>
          <w:sz w:val="24"/>
          <w:szCs w:val="24"/>
        </w:rPr>
        <w:t xml:space="preserve">Discourse of intolerance and party bans in the United Kingdom and Spain </w:t>
      </w:r>
    </w:p>
    <w:p w:rsidR="0021746F" w:rsidRDefault="0021746F" w:rsidP="00B8506C">
      <w:pPr>
        <w:spacing w:line="360" w:lineRule="auto"/>
        <w:rPr>
          <w:rFonts w:ascii="Times New Roman" w:hAnsi="Times New Roman"/>
          <w:sz w:val="24"/>
          <w:szCs w:val="24"/>
        </w:rPr>
      </w:pPr>
      <w:r w:rsidRPr="00427815">
        <w:rPr>
          <w:rFonts w:ascii="Times New Roman" w:hAnsi="Times New Roman"/>
          <w:i/>
          <w:sz w:val="24"/>
          <w:szCs w:val="24"/>
        </w:rPr>
        <w:t xml:space="preserve">Sinn </w:t>
      </w:r>
      <w:proofErr w:type="spellStart"/>
      <w:r w:rsidRPr="00427815">
        <w:rPr>
          <w:rFonts w:ascii="Times New Roman" w:hAnsi="Times New Roman"/>
          <w:i/>
          <w:sz w:val="24"/>
          <w:szCs w:val="24"/>
        </w:rPr>
        <w:t>Féin</w:t>
      </w:r>
      <w:proofErr w:type="spellEnd"/>
      <w:r>
        <w:rPr>
          <w:rFonts w:ascii="Times New Roman" w:hAnsi="Times New Roman"/>
          <w:sz w:val="24"/>
          <w:szCs w:val="24"/>
        </w:rPr>
        <w:t xml:space="preserve"> was banned in 1956 by the NI home affairs minister, Walter Topping, and Republican Clubs was banned in 1967 by the NI home affairs minister, William Craig. Like all Home Affairs ministers between 1922 and 1972, both were members of Ulster Unionist party governments with secure parliamentary majorities that supported proscription decisions. In both cases, proscription was seen through a law and order lens. Or more specifically, </w:t>
      </w:r>
      <w:r w:rsidRPr="009009B1">
        <w:rPr>
          <w:rFonts w:ascii="Times New Roman" w:hAnsi="Times New Roman"/>
          <w:sz w:val="24"/>
          <w:szCs w:val="24"/>
        </w:rPr>
        <w:t>justifications for proscription placed primary importance on the contribution of the banned parties on the conduct of violent campaigns against the state. Furthermore,</w:t>
      </w:r>
      <w:r>
        <w:rPr>
          <w:rFonts w:ascii="Times New Roman" w:hAnsi="Times New Roman"/>
          <w:b/>
          <w:sz w:val="24"/>
          <w:szCs w:val="24"/>
        </w:rPr>
        <w:t xml:space="preserve"> </w:t>
      </w:r>
      <w:r w:rsidRPr="001418EE">
        <w:rPr>
          <w:rFonts w:ascii="Times New Roman" w:hAnsi="Times New Roman"/>
          <w:sz w:val="24"/>
          <w:szCs w:val="24"/>
        </w:rPr>
        <w:t>the</w:t>
      </w:r>
      <w:r w:rsidRPr="00FE42E2">
        <w:rPr>
          <w:rFonts w:ascii="Times New Roman" w:hAnsi="Times New Roman"/>
          <w:sz w:val="24"/>
          <w:szCs w:val="24"/>
        </w:rPr>
        <w:t xml:space="preserve"> NI</w:t>
      </w:r>
      <w:r>
        <w:rPr>
          <w:rFonts w:ascii="Times New Roman" w:hAnsi="Times New Roman"/>
          <w:b/>
          <w:sz w:val="24"/>
          <w:szCs w:val="24"/>
        </w:rPr>
        <w:t xml:space="preserve"> </w:t>
      </w:r>
      <w:r w:rsidRPr="00FE42E2">
        <w:rPr>
          <w:rFonts w:ascii="Times New Roman" w:hAnsi="Times New Roman"/>
          <w:sz w:val="24"/>
          <w:szCs w:val="24"/>
        </w:rPr>
        <w:t xml:space="preserve">Home Affairs </w:t>
      </w:r>
      <w:r>
        <w:rPr>
          <w:rFonts w:ascii="Times New Roman" w:hAnsi="Times New Roman"/>
          <w:sz w:val="24"/>
          <w:szCs w:val="24"/>
        </w:rPr>
        <w:t>M</w:t>
      </w:r>
      <w:r w:rsidRPr="00FE42E2">
        <w:rPr>
          <w:rFonts w:ascii="Times New Roman" w:hAnsi="Times New Roman"/>
          <w:sz w:val="24"/>
          <w:szCs w:val="24"/>
        </w:rPr>
        <w:t>inisters</w:t>
      </w:r>
      <w:r>
        <w:rPr>
          <w:rFonts w:ascii="Times New Roman" w:hAnsi="Times New Roman"/>
          <w:b/>
          <w:sz w:val="24"/>
          <w:szCs w:val="24"/>
        </w:rPr>
        <w:t xml:space="preserve"> </w:t>
      </w:r>
      <w:r w:rsidRPr="001418EE">
        <w:rPr>
          <w:rFonts w:ascii="Times New Roman" w:hAnsi="Times New Roman"/>
          <w:sz w:val="24"/>
          <w:szCs w:val="24"/>
        </w:rPr>
        <w:t>of 1956 and 1967</w:t>
      </w:r>
      <w:r>
        <w:rPr>
          <w:rFonts w:ascii="Times New Roman" w:hAnsi="Times New Roman"/>
          <w:sz w:val="24"/>
          <w:szCs w:val="24"/>
        </w:rPr>
        <w:t xml:space="preserve"> argued that Sinn Fein and Republican clubs were </w:t>
      </w:r>
      <w:r w:rsidRPr="009009B1">
        <w:rPr>
          <w:rFonts w:ascii="Times New Roman" w:hAnsi="Times New Roman"/>
          <w:sz w:val="24"/>
          <w:szCs w:val="24"/>
        </w:rPr>
        <w:t>not ‘normal’ democratic actors</w:t>
      </w:r>
      <w:r w:rsidR="00033297">
        <w:rPr>
          <w:rFonts w:ascii="Times New Roman" w:hAnsi="Times New Roman"/>
          <w:sz w:val="24"/>
          <w:szCs w:val="24"/>
        </w:rPr>
        <w:t xml:space="preserve">, which by </w:t>
      </w:r>
      <w:r w:rsidRPr="009009B1">
        <w:rPr>
          <w:rFonts w:ascii="Times New Roman" w:hAnsi="Times New Roman"/>
          <w:sz w:val="24"/>
          <w:szCs w:val="24"/>
        </w:rPr>
        <w:t xml:space="preserve">implication disqualified </w:t>
      </w:r>
      <w:r w:rsidR="00033297">
        <w:rPr>
          <w:rFonts w:ascii="Times New Roman" w:hAnsi="Times New Roman"/>
          <w:sz w:val="24"/>
          <w:szCs w:val="24"/>
        </w:rPr>
        <w:t xml:space="preserve">them </w:t>
      </w:r>
      <w:r w:rsidRPr="009009B1">
        <w:rPr>
          <w:rFonts w:ascii="Times New Roman" w:hAnsi="Times New Roman"/>
          <w:sz w:val="24"/>
          <w:szCs w:val="24"/>
        </w:rPr>
        <w:t>from enjoying the liberties and entitlements of political parties in democratic states.</w:t>
      </w:r>
      <w:r>
        <w:rPr>
          <w:rFonts w:ascii="Times New Roman" w:hAnsi="Times New Roman"/>
          <w:sz w:val="24"/>
          <w:szCs w:val="24"/>
        </w:rPr>
        <w:t xml:space="preserve"> The ministers did not discuss the contribution of conscription to conflict resolution</w:t>
      </w:r>
      <w:r w:rsidR="00033297">
        <w:rPr>
          <w:rFonts w:ascii="Times New Roman" w:hAnsi="Times New Roman"/>
          <w:sz w:val="24"/>
          <w:szCs w:val="24"/>
        </w:rPr>
        <w:t xml:space="preserve">; </w:t>
      </w:r>
      <w:r>
        <w:rPr>
          <w:rFonts w:ascii="Times New Roman" w:hAnsi="Times New Roman"/>
          <w:sz w:val="24"/>
          <w:szCs w:val="24"/>
        </w:rPr>
        <w:t xml:space="preserve">rather </w:t>
      </w:r>
      <w:r w:rsidRPr="009009B1">
        <w:rPr>
          <w:rFonts w:ascii="Times New Roman" w:hAnsi="Times New Roman"/>
          <w:sz w:val="24"/>
          <w:szCs w:val="24"/>
        </w:rPr>
        <w:t>proscription was seen as a measure which would help bring an end to violence (as Craig put it take the gun out of politics).</w:t>
      </w:r>
      <w:r w:rsidRPr="009009B1">
        <w:rPr>
          <w:rStyle w:val="FootnoteReference"/>
          <w:sz w:val="24"/>
          <w:szCs w:val="24"/>
        </w:rPr>
        <w:footnoteReference w:id="44"/>
      </w:r>
    </w:p>
    <w:p w:rsidR="0021746F" w:rsidRPr="006908B1" w:rsidRDefault="0021746F" w:rsidP="00C031E1">
      <w:pPr>
        <w:spacing w:line="360" w:lineRule="auto"/>
        <w:rPr>
          <w:rFonts w:ascii="Times New Roman" w:hAnsi="Times New Roman"/>
          <w:color w:val="000000"/>
          <w:sz w:val="24"/>
          <w:szCs w:val="24"/>
        </w:rPr>
      </w:pPr>
      <w:r w:rsidRPr="006908B1">
        <w:rPr>
          <w:rFonts w:ascii="Times New Roman" w:hAnsi="Times New Roman"/>
          <w:color w:val="000000"/>
          <w:sz w:val="24"/>
          <w:szCs w:val="24"/>
        </w:rPr>
        <w:t xml:space="preserve">In response to the IRA’s </w:t>
      </w:r>
      <w:r>
        <w:rPr>
          <w:rFonts w:ascii="Times New Roman" w:hAnsi="Times New Roman"/>
          <w:color w:val="000000"/>
          <w:sz w:val="24"/>
          <w:szCs w:val="24"/>
        </w:rPr>
        <w:t>1956-62 B</w:t>
      </w:r>
      <w:r w:rsidRPr="006908B1">
        <w:rPr>
          <w:rFonts w:ascii="Times New Roman" w:hAnsi="Times New Roman"/>
          <w:color w:val="000000"/>
          <w:sz w:val="24"/>
          <w:szCs w:val="24"/>
        </w:rPr>
        <w:t xml:space="preserve">order </w:t>
      </w:r>
      <w:r>
        <w:rPr>
          <w:rFonts w:ascii="Times New Roman" w:hAnsi="Times New Roman"/>
          <w:color w:val="000000"/>
          <w:sz w:val="24"/>
          <w:szCs w:val="24"/>
        </w:rPr>
        <w:t>C</w:t>
      </w:r>
      <w:r w:rsidRPr="006908B1">
        <w:rPr>
          <w:rFonts w:ascii="Times New Roman" w:hAnsi="Times New Roman"/>
          <w:color w:val="000000"/>
          <w:sz w:val="24"/>
          <w:szCs w:val="24"/>
        </w:rPr>
        <w:t>ampaign, the Northern Ireland Home Affairs minister (Walter Topping) announced ‘</w:t>
      </w:r>
      <w:r w:rsidRPr="006908B1">
        <w:rPr>
          <w:rFonts w:ascii="Times New Roman" w:hAnsi="Times New Roman"/>
          <w:sz w:val="24"/>
          <w:szCs w:val="24"/>
        </w:rPr>
        <w:t>emergency Regulations providing for the arrest, detention, and, if we consider it necessary, internment of suspected persons.’</w:t>
      </w:r>
      <w:r w:rsidRPr="006908B1">
        <w:rPr>
          <w:rStyle w:val="FootnoteReference"/>
          <w:sz w:val="24"/>
          <w:szCs w:val="24"/>
        </w:rPr>
        <w:footnoteReference w:id="45"/>
      </w:r>
      <w:r w:rsidRPr="006908B1">
        <w:rPr>
          <w:rFonts w:ascii="Times New Roman" w:hAnsi="Times New Roman"/>
          <w:sz w:val="24"/>
          <w:szCs w:val="24"/>
        </w:rPr>
        <w:t xml:space="preserve"> He noted that further precautions would be necessary and these would soon include proscription of Sinn Fein and </w:t>
      </w:r>
      <w:proofErr w:type="spellStart"/>
      <w:r w:rsidRPr="006908B1">
        <w:rPr>
          <w:rFonts w:ascii="Times New Roman" w:hAnsi="Times New Roman"/>
          <w:i/>
          <w:sz w:val="24"/>
          <w:szCs w:val="24"/>
        </w:rPr>
        <w:t>Fianna</w:t>
      </w:r>
      <w:proofErr w:type="spellEnd"/>
      <w:r w:rsidRPr="006908B1">
        <w:rPr>
          <w:rFonts w:ascii="Times New Roman" w:hAnsi="Times New Roman"/>
          <w:i/>
          <w:sz w:val="24"/>
          <w:szCs w:val="24"/>
        </w:rPr>
        <w:t xml:space="preserve"> </w:t>
      </w:r>
      <w:proofErr w:type="spellStart"/>
      <w:r w:rsidRPr="006908B1">
        <w:rPr>
          <w:rFonts w:ascii="Times New Roman" w:hAnsi="Times New Roman"/>
          <w:i/>
          <w:sz w:val="24"/>
          <w:szCs w:val="24"/>
        </w:rPr>
        <w:t>Uladh</w:t>
      </w:r>
      <w:proofErr w:type="spellEnd"/>
      <w:r w:rsidRPr="006908B1">
        <w:rPr>
          <w:rFonts w:ascii="Times New Roman" w:hAnsi="Times New Roman"/>
          <w:sz w:val="24"/>
          <w:szCs w:val="24"/>
        </w:rPr>
        <w:t xml:space="preserve">. Emergency </w:t>
      </w:r>
      <w:r w:rsidRPr="006908B1">
        <w:rPr>
          <w:rFonts w:ascii="Times New Roman" w:hAnsi="Times New Roman"/>
          <w:sz w:val="24"/>
          <w:szCs w:val="24"/>
        </w:rPr>
        <w:lastRenderedPageBreak/>
        <w:t>measures were made in a context where armed attacks ‘were on a very large scale’ and where ‘</w:t>
      </w:r>
      <w:r w:rsidRPr="006908B1">
        <w:rPr>
          <w:rFonts w:ascii="Times New Roman" w:hAnsi="Times New Roman"/>
          <w:color w:val="000000"/>
          <w:sz w:val="24"/>
          <w:szCs w:val="24"/>
        </w:rPr>
        <w:t>the I.R.A and Sinn Fein organisations have openly and publicly admitted responsibility for them’.</w:t>
      </w:r>
      <w:r w:rsidRPr="006908B1">
        <w:rPr>
          <w:rStyle w:val="FootnoteReference"/>
          <w:color w:val="000000"/>
          <w:sz w:val="24"/>
          <w:szCs w:val="24"/>
        </w:rPr>
        <w:footnoteReference w:id="46"/>
      </w:r>
      <w:r w:rsidRPr="006908B1">
        <w:rPr>
          <w:rFonts w:ascii="Times New Roman" w:hAnsi="Times New Roman"/>
          <w:color w:val="000000"/>
          <w:sz w:val="24"/>
          <w:szCs w:val="24"/>
        </w:rPr>
        <w:t xml:space="preserve"> Moreover, they were deemed necessary because ‘these are not mere civil disturbances with which the police may normally be expected to cope: they are essentially military operations, carried out from bases in another country’.</w:t>
      </w:r>
      <w:r w:rsidRPr="006908B1">
        <w:rPr>
          <w:rStyle w:val="FootnoteReference"/>
          <w:color w:val="000000"/>
          <w:sz w:val="24"/>
          <w:szCs w:val="24"/>
        </w:rPr>
        <w:footnoteReference w:id="47"/>
      </w:r>
      <w:r w:rsidRPr="006908B1">
        <w:rPr>
          <w:rFonts w:ascii="Times New Roman" w:hAnsi="Times New Roman"/>
          <w:color w:val="000000"/>
          <w:sz w:val="24"/>
          <w:szCs w:val="24"/>
        </w:rPr>
        <w:t xml:space="preserve">  A later minister for home affairs, William Craig, spelt out in greater detail why the government banned Sinn Fein: </w:t>
      </w:r>
    </w:p>
    <w:p w:rsidR="0021746F" w:rsidRPr="006908B1" w:rsidRDefault="0021746F" w:rsidP="00C031E1">
      <w:pPr>
        <w:spacing w:line="360" w:lineRule="auto"/>
        <w:ind w:left="720"/>
        <w:rPr>
          <w:rFonts w:ascii="Times New Roman" w:hAnsi="Times New Roman"/>
          <w:color w:val="000000"/>
          <w:sz w:val="24"/>
          <w:szCs w:val="24"/>
          <w:u w:val="single"/>
        </w:rPr>
      </w:pPr>
      <w:r w:rsidRPr="006908B1">
        <w:rPr>
          <w:rFonts w:ascii="Times New Roman" w:hAnsi="Times New Roman"/>
          <w:color w:val="000000"/>
          <w:sz w:val="24"/>
          <w:szCs w:val="24"/>
        </w:rPr>
        <w:t>When the I.R.A commenced attacks on Northern Ireland in December 1956, Sinn Fein issued a supporting statement… Hon. Members may call [Sinn Fein] a political party but it is an organisation that is much more concerned with the bullet than it is with the ballot box. The statement says… “Irish men have again risen in armed revolt against British aggression in Ireland. The Sinn Fein organisation states to the Irish people that they are proud of the risen nation and appeal to the people of Ireland to assist in every way they can the soldiers of the Irish Republican Army… Constitutional methods alone against armed occupation, civil injustice and victimisation could not possibly be made effective.”</w:t>
      </w:r>
      <w:r w:rsidRPr="006908B1">
        <w:rPr>
          <w:rStyle w:val="FootnoteReference"/>
          <w:color w:val="000000"/>
          <w:sz w:val="24"/>
          <w:szCs w:val="24"/>
        </w:rPr>
        <w:footnoteReference w:id="48"/>
      </w:r>
    </w:p>
    <w:p w:rsidR="0021746F" w:rsidRPr="006908B1" w:rsidRDefault="0021746F" w:rsidP="00C031E1">
      <w:pPr>
        <w:spacing w:line="360" w:lineRule="auto"/>
        <w:rPr>
          <w:rFonts w:ascii="Times New Roman" w:hAnsi="Times New Roman"/>
          <w:sz w:val="24"/>
          <w:szCs w:val="24"/>
        </w:rPr>
      </w:pPr>
      <w:r w:rsidRPr="006908B1">
        <w:rPr>
          <w:rFonts w:ascii="Times New Roman" w:hAnsi="Times New Roman"/>
          <w:sz w:val="24"/>
          <w:szCs w:val="24"/>
        </w:rPr>
        <w:t>In March 1967 the Home Affairs minister banned the Republican Clubs on the grounds that it was a successor to Sinn Fein.</w:t>
      </w:r>
      <w:r w:rsidRPr="006908B1">
        <w:rPr>
          <w:rStyle w:val="FootnoteReference"/>
          <w:sz w:val="24"/>
          <w:szCs w:val="24"/>
        </w:rPr>
        <w:footnoteReference w:id="49"/>
      </w:r>
      <w:r w:rsidRPr="006908B1">
        <w:rPr>
          <w:rFonts w:ascii="Times New Roman" w:hAnsi="Times New Roman"/>
          <w:sz w:val="24"/>
          <w:szCs w:val="24"/>
        </w:rPr>
        <w:t xml:space="preserve"> He had not ‘the slightest doubt’ that ‘the Republican Club movement is the Sinn Fein Organisation in another guise…[and that they] were established…in 1964 for the sole purpose of circumventing the Northern Ireland Government ban on Sinn Fein’.</w:t>
      </w:r>
      <w:r w:rsidRPr="006908B1">
        <w:rPr>
          <w:rStyle w:val="FootnoteReference"/>
          <w:sz w:val="24"/>
          <w:szCs w:val="24"/>
        </w:rPr>
        <w:footnoteReference w:id="50"/>
      </w:r>
      <w:r w:rsidRPr="006908B1">
        <w:rPr>
          <w:rFonts w:ascii="Times New Roman" w:hAnsi="Times New Roman"/>
          <w:sz w:val="24"/>
          <w:szCs w:val="24"/>
        </w:rPr>
        <w:t xml:space="preserve"> Unlike the proscriptions of the 1920s and the 1956 proscription of Sinn Fein, Republican clubs were not banned during a period of </w:t>
      </w:r>
      <w:r w:rsidRPr="00CA7AF3">
        <w:rPr>
          <w:rFonts w:ascii="Times New Roman" w:hAnsi="Times New Roman"/>
          <w:sz w:val="24"/>
          <w:szCs w:val="24"/>
        </w:rPr>
        <w:t>civil disorder</w:t>
      </w:r>
      <w:r w:rsidRPr="006908B1">
        <w:rPr>
          <w:rFonts w:ascii="Times New Roman" w:hAnsi="Times New Roman"/>
          <w:sz w:val="24"/>
          <w:szCs w:val="24"/>
        </w:rPr>
        <w:t xml:space="preserve">, although the </w:t>
      </w:r>
      <w:r>
        <w:rPr>
          <w:rFonts w:ascii="Times New Roman" w:hAnsi="Times New Roman"/>
          <w:sz w:val="24"/>
          <w:szCs w:val="24"/>
        </w:rPr>
        <w:t xml:space="preserve">party ban </w:t>
      </w:r>
      <w:r w:rsidRPr="006908B1">
        <w:rPr>
          <w:rFonts w:ascii="Times New Roman" w:hAnsi="Times New Roman"/>
          <w:sz w:val="24"/>
          <w:szCs w:val="24"/>
        </w:rPr>
        <w:t xml:space="preserve">coincided with a ban ‘to preserve the peace’ </w:t>
      </w:r>
      <w:r w:rsidRPr="006908B1">
        <w:rPr>
          <w:rStyle w:val="FootnoteReference"/>
          <w:sz w:val="24"/>
          <w:szCs w:val="24"/>
        </w:rPr>
        <w:footnoteReference w:id="51"/>
      </w:r>
      <w:r w:rsidRPr="006908B1">
        <w:rPr>
          <w:rFonts w:ascii="Times New Roman" w:hAnsi="Times New Roman"/>
          <w:sz w:val="24"/>
          <w:szCs w:val="24"/>
        </w:rPr>
        <w:t xml:space="preserve"> on Republican commemoration of </w:t>
      </w:r>
      <w:proofErr w:type="spellStart"/>
      <w:r w:rsidRPr="006908B1">
        <w:rPr>
          <w:rFonts w:ascii="Times New Roman" w:hAnsi="Times New Roman"/>
          <w:sz w:val="24"/>
          <w:szCs w:val="24"/>
        </w:rPr>
        <w:t>Fenian</w:t>
      </w:r>
      <w:proofErr w:type="spellEnd"/>
      <w:r w:rsidRPr="006908B1">
        <w:rPr>
          <w:rFonts w:ascii="Times New Roman" w:hAnsi="Times New Roman"/>
          <w:sz w:val="24"/>
          <w:szCs w:val="24"/>
        </w:rPr>
        <w:t xml:space="preserve"> risings in 1867. The ban decision was made on the basis of a Royal Ulster Constabulary Report which the government refused to disclose to parliamentarians.</w:t>
      </w:r>
      <w:r w:rsidRPr="006908B1">
        <w:rPr>
          <w:rStyle w:val="FootnoteReference"/>
          <w:sz w:val="24"/>
          <w:szCs w:val="24"/>
        </w:rPr>
        <w:footnoteReference w:id="52"/>
      </w:r>
      <w:r w:rsidRPr="006908B1">
        <w:rPr>
          <w:rFonts w:ascii="Times New Roman" w:hAnsi="Times New Roman"/>
          <w:sz w:val="24"/>
          <w:szCs w:val="24"/>
        </w:rPr>
        <w:t xml:space="preserve"> Justifying the ban, the Home Affairs Minister William Craig stated: </w:t>
      </w:r>
    </w:p>
    <w:p w:rsidR="00C2511F" w:rsidRDefault="0021746F" w:rsidP="00C2511F">
      <w:pPr>
        <w:pStyle w:val="NormalWeb"/>
        <w:spacing w:line="360" w:lineRule="auto"/>
        <w:ind w:left="720"/>
        <w:rPr>
          <w:color w:val="000000"/>
        </w:rPr>
      </w:pPr>
      <w:r w:rsidRPr="006908B1">
        <w:rPr>
          <w:color w:val="000000"/>
        </w:rPr>
        <w:t xml:space="preserve">…I am satisfied…that the Republican clubs are really the illegal Sinn Fein organisation under another name. It is true that they are a political party. But they are more than just a normal political party. They are an organisation pledged to sustain a movement of violence. </w:t>
      </w:r>
      <w:r w:rsidRPr="006908B1">
        <w:rPr>
          <w:color w:val="000000"/>
        </w:rPr>
        <w:lastRenderedPageBreak/>
        <w:t>They are in support of the I.R.A and I know that all hon. Members opposite agree with me that the gun should be taken out of politics…there is an active organisation of the Republican Clubs and…they are being used as recruiting grounds… for the I.R.A and for propaganda in support of I.R.A aims…They sit on the management committee of the Sinn Fein organisation.</w:t>
      </w:r>
      <w:r w:rsidRPr="006908B1">
        <w:rPr>
          <w:rStyle w:val="FootnoteReference"/>
          <w:color w:val="000000"/>
        </w:rPr>
        <w:footnoteReference w:id="53"/>
      </w:r>
    </w:p>
    <w:p w:rsidR="00C2511F" w:rsidRPr="002323CA" w:rsidRDefault="00C2511F" w:rsidP="00C2511F">
      <w:pPr>
        <w:spacing w:line="360" w:lineRule="auto"/>
        <w:rPr>
          <w:rFonts w:ascii="Times New Roman" w:hAnsi="Times New Roman"/>
          <w:sz w:val="24"/>
          <w:szCs w:val="24"/>
        </w:rPr>
      </w:pPr>
      <w:r w:rsidRPr="006317A3">
        <w:rPr>
          <w:rFonts w:ascii="Times New Roman" w:hAnsi="Times New Roman"/>
          <w:sz w:val="24"/>
          <w:szCs w:val="24"/>
        </w:rPr>
        <w:t xml:space="preserve">In Spain, debate on the new </w:t>
      </w:r>
      <w:r>
        <w:rPr>
          <w:rFonts w:ascii="Times New Roman" w:hAnsi="Times New Roman"/>
          <w:sz w:val="24"/>
          <w:szCs w:val="24"/>
        </w:rPr>
        <w:t xml:space="preserve">2002 </w:t>
      </w:r>
      <w:r w:rsidRPr="006317A3">
        <w:rPr>
          <w:rFonts w:ascii="Times New Roman" w:hAnsi="Times New Roman"/>
          <w:sz w:val="24"/>
          <w:szCs w:val="24"/>
        </w:rPr>
        <w:t xml:space="preserve">Party </w:t>
      </w:r>
      <w:r>
        <w:rPr>
          <w:rFonts w:ascii="Times New Roman" w:hAnsi="Times New Roman"/>
          <w:sz w:val="24"/>
          <w:szCs w:val="24"/>
        </w:rPr>
        <w:t>L</w:t>
      </w:r>
      <w:r w:rsidRPr="006317A3">
        <w:rPr>
          <w:rFonts w:ascii="Times New Roman" w:hAnsi="Times New Roman"/>
          <w:sz w:val="24"/>
          <w:szCs w:val="24"/>
        </w:rPr>
        <w:t xml:space="preserve">aw elaborating procedures for the proscription of HB, EH and </w:t>
      </w:r>
      <w:proofErr w:type="spellStart"/>
      <w:r w:rsidRPr="005D7AEC">
        <w:rPr>
          <w:rFonts w:ascii="Times New Roman" w:hAnsi="Times New Roman"/>
          <w:i/>
          <w:sz w:val="24"/>
          <w:szCs w:val="24"/>
        </w:rPr>
        <w:t>Batasuna</w:t>
      </w:r>
      <w:proofErr w:type="spellEnd"/>
      <w:r w:rsidRPr="006317A3">
        <w:rPr>
          <w:rFonts w:ascii="Times New Roman" w:hAnsi="Times New Roman"/>
          <w:sz w:val="24"/>
          <w:szCs w:val="24"/>
        </w:rPr>
        <w:t xml:space="preserve"> centred on both technical legal issues about the constitutionality of banning parties, but also the appropriateness of banning these parties </w:t>
      </w:r>
      <w:r>
        <w:rPr>
          <w:rFonts w:ascii="Times New Roman" w:hAnsi="Times New Roman"/>
          <w:sz w:val="24"/>
          <w:szCs w:val="24"/>
        </w:rPr>
        <w:t xml:space="preserve">for democratic politics </w:t>
      </w:r>
      <w:r w:rsidRPr="006317A3">
        <w:rPr>
          <w:rFonts w:ascii="Times New Roman" w:hAnsi="Times New Roman"/>
          <w:sz w:val="24"/>
          <w:szCs w:val="24"/>
        </w:rPr>
        <w:t>and its longer term implications for conflict in the Basque Country.</w:t>
      </w:r>
      <w:r>
        <w:rPr>
          <w:rStyle w:val="FootnoteReference"/>
          <w:sz w:val="24"/>
          <w:szCs w:val="24"/>
        </w:rPr>
        <w:footnoteReference w:id="54"/>
      </w:r>
      <w:r w:rsidRPr="006317A3">
        <w:rPr>
          <w:rFonts w:ascii="Times New Roman" w:hAnsi="Times New Roman"/>
          <w:sz w:val="24"/>
          <w:szCs w:val="24"/>
        </w:rPr>
        <w:t xml:space="preserve">  Agreement between the two largest Spanish parties, the governing </w:t>
      </w:r>
      <w:proofErr w:type="spellStart"/>
      <w:r w:rsidRPr="006317A3">
        <w:rPr>
          <w:rFonts w:ascii="Times New Roman" w:hAnsi="Times New Roman"/>
          <w:i/>
          <w:sz w:val="24"/>
          <w:szCs w:val="24"/>
        </w:rPr>
        <w:t>Partido</w:t>
      </w:r>
      <w:proofErr w:type="spellEnd"/>
      <w:r w:rsidRPr="006317A3">
        <w:rPr>
          <w:rFonts w:ascii="Times New Roman" w:hAnsi="Times New Roman"/>
          <w:i/>
          <w:sz w:val="24"/>
          <w:szCs w:val="24"/>
        </w:rPr>
        <w:t xml:space="preserve"> Popular </w:t>
      </w:r>
      <w:r w:rsidRPr="006317A3">
        <w:rPr>
          <w:rFonts w:ascii="Times New Roman" w:hAnsi="Times New Roman"/>
          <w:sz w:val="24"/>
          <w:szCs w:val="24"/>
        </w:rPr>
        <w:t xml:space="preserve">(PP, Popular Party), and the main opposition party, </w:t>
      </w:r>
      <w:proofErr w:type="spellStart"/>
      <w:r w:rsidRPr="00734EC7">
        <w:rPr>
          <w:rFonts w:ascii="Times New Roman" w:hAnsi="Times New Roman"/>
          <w:i/>
          <w:sz w:val="24"/>
          <w:szCs w:val="24"/>
        </w:rPr>
        <w:t>Partido</w:t>
      </w:r>
      <w:proofErr w:type="spellEnd"/>
      <w:r w:rsidRPr="00734EC7">
        <w:rPr>
          <w:rFonts w:ascii="Times New Roman" w:hAnsi="Times New Roman"/>
          <w:i/>
          <w:sz w:val="24"/>
          <w:szCs w:val="24"/>
        </w:rPr>
        <w:t xml:space="preserve"> </w:t>
      </w:r>
      <w:proofErr w:type="spellStart"/>
      <w:r w:rsidRPr="00734EC7">
        <w:rPr>
          <w:rFonts w:ascii="Times New Roman" w:hAnsi="Times New Roman"/>
          <w:i/>
          <w:sz w:val="24"/>
          <w:szCs w:val="24"/>
        </w:rPr>
        <w:t>Socialista</w:t>
      </w:r>
      <w:proofErr w:type="spellEnd"/>
      <w:r w:rsidRPr="00734EC7">
        <w:rPr>
          <w:rFonts w:ascii="Times New Roman" w:hAnsi="Times New Roman"/>
          <w:i/>
          <w:sz w:val="24"/>
          <w:szCs w:val="24"/>
        </w:rPr>
        <w:t xml:space="preserve"> </w:t>
      </w:r>
      <w:proofErr w:type="spellStart"/>
      <w:r w:rsidRPr="00734EC7">
        <w:rPr>
          <w:rFonts w:ascii="Times New Roman" w:hAnsi="Times New Roman"/>
          <w:i/>
          <w:sz w:val="24"/>
          <w:szCs w:val="24"/>
        </w:rPr>
        <w:t>Oberero</w:t>
      </w:r>
      <w:proofErr w:type="spellEnd"/>
      <w:r w:rsidRPr="00734EC7">
        <w:rPr>
          <w:rFonts w:ascii="Times New Roman" w:hAnsi="Times New Roman"/>
          <w:i/>
          <w:sz w:val="24"/>
          <w:szCs w:val="24"/>
        </w:rPr>
        <w:t xml:space="preserve"> </w:t>
      </w:r>
      <w:proofErr w:type="spellStart"/>
      <w:r w:rsidRPr="00734EC7">
        <w:rPr>
          <w:rFonts w:ascii="Times New Roman" w:hAnsi="Times New Roman"/>
          <w:i/>
          <w:sz w:val="24"/>
          <w:szCs w:val="24"/>
        </w:rPr>
        <w:t>Español</w:t>
      </w:r>
      <w:proofErr w:type="spellEnd"/>
      <w:r w:rsidRPr="006317A3">
        <w:rPr>
          <w:rFonts w:ascii="Times New Roman" w:hAnsi="Times New Roman"/>
          <w:sz w:val="24"/>
          <w:szCs w:val="24"/>
        </w:rPr>
        <w:t xml:space="preserve"> (PSOE, Spanish Socialist Workers Party) ensured passage of the new legislation. </w:t>
      </w:r>
      <w:r>
        <w:rPr>
          <w:rFonts w:ascii="Times New Roman" w:hAnsi="Times New Roman"/>
          <w:sz w:val="24"/>
          <w:szCs w:val="24"/>
        </w:rPr>
        <w:t xml:space="preserve"> Like the Ulster Unionist parties, the PP justice minister </w:t>
      </w:r>
      <w:r w:rsidRPr="002323CA">
        <w:rPr>
          <w:rFonts w:ascii="Times New Roman" w:hAnsi="Times New Roman"/>
          <w:sz w:val="24"/>
          <w:szCs w:val="24"/>
        </w:rPr>
        <w:t xml:space="preserve">placed primary emphasis on the contribution of the banned parties to the conduct of violent campaigns against the state.  In contrast to the Ulster Unionist ministers, however, both PP and PSOE spokespersons also emphasised the threat of HB, EH and </w:t>
      </w:r>
      <w:proofErr w:type="spellStart"/>
      <w:r w:rsidRPr="002323CA">
        <w:rPr>
          <w:rFonts w:ascii="Times New Roman" w:hAnsi="Times New Roman"/>
          <w:i/>
          <w:sz w:val="24"/>
          <w:szCs w:val="24"/>
        </w:rPr>
        <w:t>Batasuna</w:t>
      </w:r>
      <w:proofErr w:type="spellEnd"/>
      <w:r w:rsidRPr="002323CA">
        <w:rPr>
          <w:rFonts w:ascii="Times New Roman" w:hAnsi="Times New Roman"/>
          <w:sz w:val="24"/>
          <w:szCs w:val="24"/>
        </w:rPr>
        <w:t xml:space="preserve"> not just to internal security, but to the very fabric of democratic life in Spain.</w:t>
      </w:r>
      <w:r w:rsidRPr="002323CA">
        <w:rPr>
          <w:rStyle w:val="FootnoteReference"/>
          <w:sz w:val="24"/>
          <w:szCs w:val="24"/>
        </w:rPr>
        <w:footnoteReference w:id="55"/>
      </w:r>
      <w:r w:rsidRPr="002323CA">
        <w:rPr>
          <w:rFonts w:ascii="Times New Roman" w:hAnsi="Times New Roman"/>
          <w:sz w:val="24"/>
          <w:szCs w:val="24"/>
        </w:rPr>
        <w:t xml:space="preserve"> The PP was also dismissive of arguments that proscription might strengthen ETA, arguing that it would remove important political resources channelled through the activities of the banned political parties.</w:t>
      </w:r>
    </w:p>
    <w:p w:rsidR="00C2511F" w:rsidRDefault="00C2511F" w:rsidP="00C2511F">
      <w:pPr>
        <w:spacing w:line="360" w:lineRule="auto"/>
        <w:rPr>
          <w:rFonts w:ascii="Times New Roman" w:hAnsi="Times New Roman"/>
          <w:sz w:val="24"/>
          <w:szCs w:val="24"/>
        </w:rPr>
      </w:pPr>
      <w:r>
        <w:rPr>
          <w:rFonts w:ascii="Times New Roman" w:hAnsi="Times New Roman"/>
          <w:sz w:val="24"/>
          <w:szCs w:val="24"/>
        </w:rPr>
        <w:t xml:space="preserve">A key argument underpinning the position of the </w:t>
      </w:r>
      <w:r w:rsidRPr="006317A3">
        <w:rPr>
          <w:rFonts w:ascii="Times New Roman" w:hAnsi="Times New Roman"/>
          <w:sz w:val="24"/>
          <w:szCs w:val="24"/>
        </w:rPr>
        <w:t xml:space="preserve">PP Justice Minister, Sr. </w:t>
      </w:r>
      <w:proofErr w:type="spellStart"/>
      <w:r w:rsidRPr="006317A3">
        <w:rPr>
          <w:rFonts w:ascii="Times New Roman" w:hAnsi="Times New Roman"/>
          <w:sz w:val="24"/>
          <w:szCs w:val="24"/>
        </w:rPr>
        <w:t>Acebes</w:t>
      </w:r>
      <w:proofErr w:type="spellEnd"/>
      <w:r w:rsidRPr="006317A3">
        <w:rPr>
          <w:rFonts w:ascii="Times New Roman" w:hAnsi="Times New Roman"/>
          <w:sz w:val="24"/>
          <w:szCs w:val="24"/>
        </w:rPr>
        <w:t xml:space="preserve"> </w:t>
      </w:r>
      <w:proofErr w:type="spellStart"/>
      <w:r w:rsidRPr="006317A3">
        <w:rPr>
          <w:rFonts w:ascii="Times New Roman" w:hAnsi="Times New Roman"/>
          <w:sz w:val="24"/>
          <w:szCs w:val="24"/>
        </w:rPr>
        <w:t>Paniagua</w:t>
      </w:r>
      <w:proofErr w:type="spellEnd"/>
      <w:r>
        <w:rPr>
          <w:rFonts w:ascii="Times New Roman" w:hAnsi="Times New Roman"/>
          <w:sz w:val="24"/>
          <w:szCs w:val="24"/>
        </w:rPr>
        <w:t>, was that there ought to be no distinctions between ‘terrorism and politics’ and that i</w:t>
      </w:r>
      <w:r w:rsidRPr="006317A3">
        <w:rPr>
          <w:rFonts w:ascii="Times New Roman" w:hAnsi="Times New Roman"/>
          <w:sz w:val="24"/>
          <w:szCs w:val="24"/>
        </w:rPr>
        <w:t xml:space="preserve">n the name of ‘the fight against terror as well as the defence of democracy’, parliamentarians </w:t>
      </w:r>
      <w:r>
        <w:rPr>
          <w:rFonts w:ascii="Times New Roman" w:hAnsi="Times New Roman"/>
          <w:sz w:val="24"/>
          <w:szCs w:val="24"/>
        </w:rPr>
        <w:t xml:space="preserve">ought </w:t>
      </w:r>
      <w:r w:rsidRPr="006317A3">
        <w:rPr>
          <w:rFonts w:ascii="Times New Roman" w:hAnsi="Times New Roman"/>
          <w:sz w:val="24"/>
          <w:szCs w:val="24"/>
        </w:rPr>
        <w:t>to ‘increasingly close the spaces of impunity, to finish with aggression and to expel terrorism from politics and to prevent terrorism from using politics to obtain its ends’.</w:t>
      </w:r>
      <w:r>
        <w:rPr>
          <w:rStyle w:val="FootnoteReference"/>
          <w:sz w:val="24"/>
          <w:szCs w:val="24"/>
        </w:rPr>
        <w:footnoteReference w:id="56"/>
      </w:r>
      <w:r>
        <w:rPr>
          <w:rFonts w:ascii="Times New Roman" w:hAnsi="Times New Roman"/>
          <w:sz w:val="24"/>
          <w:szCs w:val="24"/>
        </w:rPr>
        <w:t xml:space="preserve"> This argument is further expressed in the </w:t>
      </w:r>
      <w:r>
        <w:rPr>
          <w:rFonts w:ascii="Times New Roman" w:hAnsi="Times New Roman"/>
          <w:sz w:val="24"/>
          <w:szCs w:val="24"/>
        </w:rPr>
        <w:lastRenderedPageBreak/>
        <w:t>statement equating those who commit acts of terror and those who support them. The minister asks rhetorically:</w:t>
      </w:r>
    </w:p>
    <w:p w:rsidR="00C2511F" w:rsidRPr="006317A3" w:rsidRDefault="00C2511F" w:rsidP="00C2511F">
      <w:pPr>
        <w:spacing w:line="360" w:lineRule="auto"/>
        <w:ind w:left="720"/>
        <w:rPr>
          <w:rFonts w:ascii="Times New Roman" w:hAnsi="Times New Roman"/>
          <w:sz w:val="24"/>
          <w:szCs w:val="24"/>
        </w:rPr>
      </w:pPr>
      <w:r w:rsidRPr="006317A3">
        <w:rPr>
          <w:rFonts w:ascii="Times New Roman" w:hAnsi="Times New Roman"/>
          <w:sz w:val="24"/>
          <w:szCs w:val="24"/>
        </w:rPr>
        <w:t>Who can criticise that it should not be legal in a democracy to regularly include in its directing organs or in its electoral lists people condemned for terrorism and who have not publically rejected the ends and means of terrorists, or maintain a significant number of their af</w:t>
      </w:r>
      <w:r>
        <w:rPr>
          <w:rFonts w:ascii="Times New Roman" w:hAnsi="Times New Roman"/>
          <w:sz w:val="24"/>
          <w:szCs w:val="24"/>
        </w:rPr>
        <w:t>f</w:t>
      </w:r>
      <w:r w:rsidRPr="006317A3">
        <w:rPr>
          <w:rFonts w:ascii="Times New Roman" w:hAnsi="Times New Roman"/>
          <w:sz w:val="24"/>
          <w:szCs w:val="24"/>
        </w:rPr>
        <w:t>il</w:t>
      </w:r>
      <w:r>
        <w:rPr>
          <w:rFonts w:ascii="Times New Roman" w:hAnsi="Times New Roman"/>
          <w:sz w:val="24"/>
          <w:szCs w:val="24"/>
        </w:rPr>
        <w:t>i</w:t>
      </w:r>
      <w:r w:rsidRPr="006317A3">
        <w:rPr>
          <w:rFonts w:ascii="Times New Roman" w:hAnsi="Times New Roman"/>
          <w:sz w:val="24"/>
          <w:szCs w:val="24"/>
        </w:rPr>
        <w:t>ates with double membership in an organisation or entities linked to a terrorist group, or pr</w:t>
      </w:r>
      <w:r>
        <w:rPr>
          <w:rFonts w:ascii="Times New Roman" w:hAnsi="Times New Roman"/>
          <w:sz w:val="24"/>
          <w:szCs w:val="24"/>
        </w:rPr>
        <w:t>o</w:t>
      </w:r>
      <w:r w:rsidRPr="006317A3">
        <w:rPr>
          <w:rFonts w:ascii="Times New Roman" w:hAnsi="Times New Roman"/>
          <w:sz w:val="24"/>
          <w:szCs w:val="24"/>
        </w:rPr>
        <w:t>mote and participate in activities that have as an objective the compensation, homage and distinction of terrorist actions or those who commit or collaborate in them</w:t>
      </w:r>
      <w:r>
        <w:rPr>
          <w:rFonts w:ascii="Times New Roman" w:hAnsi="Times New Roman"/>
          <w:sz w:val="24"/>
          <w:szCs w:val="24"/>
        </w:rPr>
        <w:t>.</w:t>
      </w:r>
      <w:r>
        <w:rPr>
          <w:rStyle w:val="FootnoteReference"/>
          <w:sz w:val="24"/>
          <w:szCs w:val="24"/>
        </w:rPr>
        <w:footnoteReference w:id="57"/>
      </w:r>
    </w:p>
    <w:p w:rsidR="00C2511F" w:rsidRPr="006317A3" w:rsidRDefault="00C2511F" w:rsidP="00C2511F">
      <w:pPr>
        <w:spacing w:line="360" w:lineRule="auto"/>
        <w:rPr>
          <w:rFonts w:ascii="Times New Roman" w:hAnsi="Times New Roman"/>
          <w:sz w:val="24"/>
          <w:szCs w:val="24"/>
        </w:rPr>
      </w:pPr>
      <w:proofErr w:type="spellStart"/>
      <w:r>
        <w:rPr>
          <w:rFonts w:ascii="Times New Roman" w:hAnsi="Times New Roman"/>
          <w:sz w:val="24"/>
          <w:szCs w:val="24"/>
        </w:rPr>
        <w:t>Acebes</w:t>
      </w:r>
      <w:proofErr w:type="spellEnd"/>
      <w:r>
        <w:rPr>
          <w:rFonts w:ascii="Times New Roman" w:hAnsi="Times New Roman"/>
          <w:sz w:val="24"/>
          <w:szCs w:val="24"/>
        </w:rPr>
        <w:t xml:space="preserve"> also argued that </w:t>
      </w:r>
      <w:r w:rsidRPr="006317A3">
        <w:rPr>
          <w:rFonts w:ascii="Times New Roman" w:hAnsi="Times New Roman"/>
          <w:sz w:val="24"/>
          <w:szCs w:val="24"/>
        </w:rPr>
        <w:t xml:space="preserve">‘illegalization </w:t>
      </w:r>
      <w:r>
        <w:rPr>
          <w:rFonts w:ascii="Times New Roman" w:hAnsi="Times New Roman"/>
          <w:sz w:val="24"/>
          <w:szCs w:val="24"/>
        </w:rPr>
        <w:t xml:space="preserve">[of political parties] </w:t>
      </w:r>
      <w:r w:rsidRPr="006317A3">
        <w:rPr>
          <w:rFonts w:ascii="Times New Roman" w:hAnsi="Times New Roman"/>
          <w:sz w:val="24"/>
          <w:szCs w:val="24"/>
        </w:rPr>
        <w:t xml:space="preserve">should be a response to the extreme case where the very democracy and the </w:t>
      </w:r>
      <w:r>
        <w:rPr>
          <w:rFonts w:ascii="Times New Roman" w:hAnsi="Times New Roman"/>
          <w:sz w:val="24"/>
          <w:szCs w:val="24"/>
        </w:rPr>
        <w:t>S</w:t>
      </w:r>
      <w:r w:rsidRPr="006317A3">
        <w:rPr>
          <w:rFonts w:ascii="Times New Roman" w:hAnsi="Times New Roman"/>
          <w:sz w:val="24"/>
          <w:szCs w:val="24"/>
        </w:rPr>
        <w:t xml:space="preserve">tate of </w:t>
      </w:r>
      <w:r>
        <w:rPr>
          <w:rFonts w:ascii="Times New Roman" w:hAnsi="Times New Roman"/>
          <w:sz w:val="24"/>
          <w:szCs w:val="24"/>
        </w:rPr>
        <w:t>L</w:t>
      </w:r>
      <w:r w:rsidRPr="006317A3">
        <w:rPr>
          <w:rFonts w:ascii="Times New Roman" w:hAnsi="Times New Roman"/>
          <w:sz w:val="24"/>
          <w:szCs w:val="24"/>
        </w:rPr>
        <w:t>aw are at risk’</w:t>
      </w:r>
      <w:r>
        <w:rPr>
          <w:rFonts w:ascii="Times New Roman" w:hAnsi="Times New Roman"/>
          <w:sz w:val="24"/>
          <w:szCs w:val="24"/>
        </w:rPr>
        <w:t>.</w:t>
      </w:r>
      <w:r>
        <w:rPr>
          <w:rStyle w:val="FootnoteReference"/>
          <w:sz w:val="24"/>
          <w:szCs w:val="24"/>
        </w:rPr>
        <w:footnoteReference w:id="58"/>
      </w:r>
      <w:r>
        <w:rPr>
          <w:rFonts w:ascii="Times New Roman" w:hAnsi="Times New Roman"/>
          <w:sz w:val="24"/>
          <w:szCs w:val="24"/>
        </w:rPr>
        <w:t xml:space="preserve"> At the same time as </w:t>
      </w:r>
      <w:proofErr w:type="spellStart"/>
      <w:r>
        <w:rPr>
          <w:rFonts w:ascii="Times New Roman" w:hAnsi="Times New Roman"/>
          <w:sz w:val="24"/>
          <w:szCs w:val="24"/>
        </w:rPr>
        <w:t>emphasing</w:t>
      </w:r>
      <w:proofErr w:type="spellEnd"/>
      <w:r>
        <w:rPr>
          <w:rFonts w:ascii="Times New Roman" w:hAnsi="Times New Roman"/>
          <w:sz w:val="24"/>
          <w:szCs w:val="24"/>
        </w:rPr>
        <w:t xml:space="preserve"> the ‘abnormality’ of the banned parties, </w:t>
      </w:r>
      <w:proofErr w:type="spellStart"/>
      <w:r>
        <w:rPr>
          <w:rFonts w:ascii="Times New Roman" w:hAnsi="Times New Roman"/>
          <w:sz w:val="24"/>
          <w:szCs w:val="24"/>
        </w:rPr>
        <w:t>Acebes</w:t>
      </w:r>
      <w:proofErr w:type="spellEnd"/>
      <w:r>
        <w:rPr>
          <w:rFonts w:ascii="Times New Roman" w:hAnsi="Times New Roman"/>
          <w:sz w:val="24"/>
          <w:szCs w:val="24"/>
        </w:rPr>
        <w:t xml:space="preserve"> </w:t>
      </w:r>
      <w:r w:rsidRPr="006317A3">
        <w:rPr>
          <w:rFonts w:ascii="Times New Roman" w:hAnsi="Times New Roman"/>
          <w:sz w:val="24"/>
          <w:szCs w:val="24"/>
        </w:rPr>
        <w:t xml:space="preserve">sought to negate </w:t>
      </w:r>
      <w:r>
        <w:rPr>
          <w:rFonts w:ascii="Times New Roman" w:hAnsi="Times New Roman"/>
          <w:sz w:val="24"/>
          <w:szCs w:val="24"/>
        </w:rPr>
        <w:t xml:space="preserve">what he called </w:t>
      </w:r>
      <w:r w:rsidRPr="006317A3">
        <w:rPr>
          <w:rFonts w:ascii="Times New Roman" w:hAnsi="Times New Roman"/>
          <w:sz w:val="24"/>
          <w:szCs w:val="24"/>
        </w:rPr>
        <w:t>the ‘false belief that we live in a democracy without threats</w:t>
      </w:r>
      <w:r>
        <w:rPr>
          <w:rFonts w:ascii="Times New Roman" w:hAnsi="Times New Roman"/>
          <w:sz w:val="24"/>
          <w:szCs w:val="24"/>
        </w:rPr>
        <w:t>’.</w:t>
      </w:r>
      <w:r>
        <w:rPr>
          <w:rStyle w:val="FootnoteReference"/>
          <w:sz w:val="24"/>
          <w:szCs w:val="24"/>
        </w:rPr>
        <w:footnoteReference w:id="59"/>
      </w:r>
      <w:r>
        <w:rPr>
          <w:rFonts w:ascii="Times New Roman" w:hAnsi="Times New Roman"/>
          <w:sz w:val="24"/>
          <w:szCs w:val="24"/>
        </w:rPr>
        <w:t xml:space="preserve"> </w:t>
      </w:r>
      <w:r w:rsidRPr="006317A3">
        <w:rPr>
          <w:rFonts w:ascii="Times New Roman" w:hAnsi="Times New Roman"/>
          <w:sz w:val="24"/>
          <w:szCs w:val="24"/>
        </w:rPr>
        <w:t xml:space="preserve">The minister stated that </w:t>
      </w:r>
      <w:r>
        <w:rPr>
          <w:rFonts w:ascii="Times New Roman" w:hAnsi="Times New Roman"/>
          <w:sz w:val="24"/>
          <w:szCs w:val="24"/>
        </w:rPr>
        <w:t>i</w:t>
      </w:r>
      <w:r w:rsidRPr="006317A3">
        <w:rPr>
          <w:rFonts w:ascii="Times New Roman" w:hAnsi="Times New Roman"/>
          <w:sz w:val="24"/>
          <w:szCs w:val="24"/>
        </w:rPr>
        <w:t xml:space="preserve">t </w:t>
      </w:r>
      <w:r>
        <w:rPr>
          <w:rFonts w:ascii="Times New Roman" w:hAnsi="Times New Roman"/>
          <w:sz w:val="24"/>
          <w:szCs w:val="24"/>
        </w:rPr>
        <w:t>was</w:t>
      </w:r>
      <w:r w:rsidRPr="006317A3">
        <w:rPr>
          <w:rFonts w:ascii="Times New Roman" w:hAnsi="Times New Roman"/>
          <w:sz w:val="24"/>
          <w:szCs w:val="24"/>
        </w:rPr>
        <w:t xml:space="preserve"> an impermissible ‘perversion of democracy’ to allow political parties, </w:t>
      </w:r>
      <w:r>
        <w:rPr>
          <w:rFonts w:ascii="Times New Roman" w:hAnsi="Times New Roman"/>
          <w:sz w:val="24"/>
          <w:szCs w:val="24"/>
        </w:rPr>
        <w:t>‘</w:t>
      </w:r>
      <w:r w:rsidRPr="006317A3">
        <w:rPr>
          <w:rFonts w:ascii="Times New Roman" w:hAnsi="Times New Roman"/>
          <w:sz w:val="24"/>
          <w:szCs w:val="24"/>
        </w:rPr>
        <w:t>as it occur</w:t>
      </w:r>
      <w:r>
        <w:rPr>
          <w:rFonts w:ascii="Times New Roman" w:hAnsi="Times New Roman"/>
          <w:sz w:val="24"/>
          <w:szCs w:val="24"/>
        </w:rPr>
        <w:t>red</w:t>
      </w:r>
      <w:r w:rsidRPr="006317A3">
        <w:rPr>
          <w:rFonts w:ascii="Times New Roman" w:hAnsi="Times New Roman"/>
          <w:sz w:val="24"/>
          <w:szCs w:val="24"/>
        </w:rPr>
        <w:t xml:space="preserve"> in Spain</w:t>
      </w:r>
      <w:r>
        <w:rPr>
          <w:rFonts w:ascii="Times New Roman" w:hAnsi="Times New Roman"/>
          <w:sz w:val="24"/>
          <w:szCs w:val="24"/>
        </w:rPr>
        <w:t>’</w:t>
      </w:r>
      <w:r w:rsidRPr="006317A3">
        <w:rPr>
          <w:rFonts w:ascii="Times New Roman" w:hAnsi="Times New Roman"/>
          <w:sz w:val="24"/>
          <w:szCs w:val="24"/>
        </w:rPr>
        <w:t xml:space="preserve">: </w:t>
      </w:r>
    </w:p>
    <w:p w:rsidR="00C2511F" w:rsidRPr="006317A3" w:rsidRDefault="00C2511F" w:rsidP="00C2511F">
      <w:pPr>
        <w:spacing w:line="360" w:lineRule="auto"/>
        <w:ind w:left="720"/>
        <w:rPr>
          <w:rFonts w:ascii="Times New Roman" w:hAnsi="Times New Roman"/>
          <w:sz w:val="24"/>
          <w:szCs w:val="24"/>
        </w:rPr>
      </w:pPr>
      <w:r w:rsidRPr="006317A3">
        <w:rPr>
          <w:rFonts w:ascii="Times New Roman" w:hAnsi="Times New Roman"/>
          <w:sz w:val="24"/>
          <w:szCs w:val="24"/>
        </w:rPr>
        <w:t>…to be deposits of arms, nurseries or refugees for assassins, schools for violence or centres for logistical support for terrorists;…an apparatus for the financing, management or propaganda of violent groups</w:t>
      </w:r>
      <w:r>
        <w:rPr>
          <w:rFonts w:ascii="Times New Roman" w:hAnsi="Times New Roman"/>
          <w:sz w:val="24"/>
          <w:szCs w:val="24"/>
        </w:rPr>
        <w:t>;</w:t>
      </w:r>
      <w:r w:rsidRPr="006317A3">
        <w:rPr>
          <w:rFonts w:ascii="Times New Roman" w:hAnsi="Times New Roman"/>
          <w:sz w:val="24"/>
          <w:szCs w:val="24"/>
        </w:rPr>
        <w:t xml:space="preserve">...[which] use institutions to generalise fear, to sew </w:t>
      </w:r>
      <w:r>
        <w:rPr>
          <w:rFonts w:ascii="Times New Roman" w:hAnsi="Times New Roman"/>
          <w:sz w:val="24"/>
          <w:szCs w:val="24"/>
        </w:rPr>
        <w:t xml:space="preserve">a </w:t>
      </w:r>
      <w:r w:rsidRPr="006317A3">
        <w:rPr>
          <w:rFonts w:ascii="Times New Roman" w:hAnsi="Times New Roman"/>
          <w:sz w:val="24"/>
          <w:szCs w:val="24"/>
        </w:rPr>
        <w:t>mesh of terror and exclusion in every village….use public subsidies to develop networks of mafia-like financing, that begin with kidnapping, robbery and threats…and occupy parliamentary seats or councils to better obtain information</w:t>
      </w:r>
      <w:r>
        <w:rPr>
          <w:rFonts w:ascii="Times New Roman" w:hAnsi="Times New Roman"/>
          <w:sz w:val="24"/>
          <w:szCs w:val="24"/>
        </w:rPr>
        <w:t>.</w:t>
      </w:r>
      <w:r>
        <w:rPr>
          <w:rStyle w:val="FootnoteReference"/>
          <w:sz w:val="24"/>
          <w:szCs w:val="24"/>
        </w:rPr>
        <w:footnoteReference w:id="60"/>
      </w:r>
      <w:r w:rsidRPr="006317A3">
        <w:rPr>
          <w:rFonts w:ascii="Times New Roman" w:hAnsi="Times New Roman"/>
          <w:sz w:val="24"/>
          <w:szCs w:val="24"/>
        </w:rPr>
        <w:t xml:space="preserve"> </w:t>
      </w:r>
    </w:p>
    <w:p w:rsidR="00C2511F" w:rsidRDefault="00C2511F" w:rsidP="00C2511F">
      <w:pPr>
        <w:spacing w:line="360" w:lineRule="auto"/>
        <w:rPr>
          <w:rFonts w:ascii="Times New Roman" w:hAnsi="Times New Roman"/>
          <w:sz w:val="24"/>
          <w:szCs w:val="24"/>
        </w:rPr>
      </w:pPr>
      <w:r>
        <w:rPr>
          <w:rFonts w:ascii="Times New Roman" w:hAnsi="Times New Roman"/>
          <w:sz w:val="24"/>
          <w:szCs w:val="24"/>
        </w:rPr>
        <w:t xml:space="preserve">Spanish democracy was, as a result, also a </w:t>
      </w:r>
      <w:r w:rsidRPr="006317A3">
        <w:rPr>
          <w:rFonts w:ascii="Times New Roman" w:hAnsi="Times New Roman"/>
          <w:sz w:val="24"/>
          <w:szCs w:val="24"/>
        </w:rPr>
        <w:t>‘precarious democracy’ in which ‘a group</w:t>
      </w:r>
      <w:r>
        <w:rPr>
          <w:rFonts w:ascii="Times New Roman" w:hAnsi="Times New Roman"/>
          <w:sz w:val="24"/>
          <w:szCs w:val="24"/>
        </w:rPr>
        <w:t xml:space="preserve"> of people</w:t>
      </w:r>
      <w:r w:rsidRPr="006317A3">
        <w:rPr>
          <w:rFonts w:ascii="Times New Roman" w:hAnsi="Times New Roman"/>
          <w:sz w:val="24"/>
          <w:szCs w:val="24"/>
        </w:rPr>
        <w:t xml:space="preserve"> lives their daily life in panic’</w:t>
      </w:r>
      <w:r>
        <w:rPr>
          <w:rStyle w:val="FootnoteReference"/>
          <w:sz w:val="24"/>
          <w:szCs w:val="24"/>
        </w:rPr>
        <w:footnoteReference w:id="61"/>
      </w:r>
      <w:r>
        <w:rPr>
          <w:rFonts w:ascii="Times New Roman" w:hAnsi="Times New Roman"/>
          <w:sz w:val="24"/>
          <w:szCs w:val="24"/>
        </w:rPr>
        <w:t xml:space="preserve">. And as such it was the government’s obligation to </w:t>
      </w:r>
      <w:r w:rsidRPr="006317A3">
        <w:rPr>
          <w:rFonts w:ascii="Times New Roman" w:hAnsi="Times New Roman"/>
          <w:sz w:val="24"/>
          <w:szCs w:val="24"/>
        </w:rPr>
        <w:t>‘articulat</w:t>
      </w:r>
      <w:r>
        <w:rPr>
          <w:rFonts w:ascii="Times New Roman" w:hAnsi="Times New Roman"/>
          <w:sz w:val="24"/>
          <w:szCs w:val="24"/>
        </w:rPr>
        <w:t>e</w:t>
      </w:r>
      <w:r w:rsidRPr="006317A3">
        <w:rPr>
          <w:rFonts w:ascii="Times New Roman" w:hAnsi="Times New Roman"/>
          <w:sz w:val="24"/>
          <w:szCs w:val="24"/>
        </w:rPr>
        <w:t xml:space="preserve"> all means – all – to safeguard and promote democracy in the face of its enemies, and to provide defence to the defenceless and for the enjoyment of basic liberties by those deprived of them’</w:t>
      </w:r>
      <w:r>
        <w:rPr>
          <w:rFonts w:ascii="Times New Roman" w:hAnsi="Times New Roman"/>
          <w:sz w:val="24"/>
          <w:szCs w:val="24"/>
        </w:rPr>
        <w:t>.</w:t>
      </w:r>
      <w:r>
        <w:rPr>
          <w:rStyle w:val="FootnoteReference"/>
          <w:sz w:val="24"/>
          <w:szCs w:val="24"/>
        </w:rPr>
        <w:footnoteReference w:id="62"/>
      </w:r>
      <w:r w:rsidRPr="006317A3">
        <w:rPr>
          <w:rFonts w:ascii="Times New Roman" w:hAnsi="Times New Roman"/>
          <w:sz w:val="24"/>
          <w:szCs w:val="24"/>
        </w:rPr>
        <w:t xml:space="preserve"> </w:t>
      </w:r>
    </w:p>
    <w:p w:rsidR="00C2511F" w:rsidRDefault="00C2511F" w:rsidP="00C2511F">
      <w:pPr>
        <w:spacing w:line="360" w:lineRule="auto"/>
        <w:rPr>
          <w:rFonts w:ascii="Times New Roman" w:hAnsi="Times New Roman"/>
          <w:sz w:val="24"/>
          <w:szCs w:val="24"/>
        </w:rPr>
      </w:pPr>
      <w:r w:rsidRPr="006317A3">
        <w:rPr>
          <w:rFonts w:ascii="Times New Roman" w:hAnsi="Times New Roman"/>
          <w:sz w:val="24"/>
          <w:szCs w:val="24"/>
        </w:rPr>
        <w:t xml:space="preserve">While repeatedly insisting that all political ideas, including those against the constitution, could be legally articulated, </w:t>
      </w:r>
      <w:proofErr w:type="spellStart"/>
      <w:r>
        <w:rPr>
          <w:rFonts w:ascii="Times New Roman" w:hAnsi="Times New Roman"/>
          <w:sz w:val="24"/>
          <w:szCs w:val="24"/>
        </w:rPr>
        <w:t>Acebes</w:t>
      </w:r>
      <w:proofErr w:type="spellEnd"/>
      <w:r>
        <w:rPr>
          <w:rFonts w:ascii="Times New Roman" w:hAnsi="Times New Roman"/>
          <w:sz w:val="24"/>
          <w:szCs w:val="24"/>
        </w:rPr>
        <w:t xml:space="preserve"> argued that </w:t>
      </w:r>
      <w:r w:rsidRPr="006317A3">
        <w:rPr>
          <w:rFonts w:ascii="Times New Roman" w:hAnsi="Times New Roman"/>
          <w:sz w:val="24"/>
          <w:szCs w:val="24"/>
        </w:rPr>
        <w:t xml:space="preserve">‘the principle of liberty that governs the life of political </w:t>
      </w:r>
      <w:r w:rsidRPr="006317A3">
        <w:rPr>
          <w:rFonts w:ascii="Times New Roman" w:hAnsi="Times New Roman"/>
          <w:sz w:val="24"/>
          <w:szCs w:val="24"/>
        </w:rPr>
        <w:lastRenderedPageBreak/>
        <w:t>parties does not exclude in any way the existence of limits and controls of variable intensity and nature’</w:t>
      </w:r>
      <w:r>
        <w:rPr>
          <w:rFonts w:ascii="Times New Roman" w:hAnsi="Times New Roman"/>
          <w:sz w:val="24"/>
          <w:szCs w:val="24"/>
        </w:rPr>
        <w:t>.</w:t>
      </w:r>
      <w:r>
        <w:rPr>
          <w:rStyle w:val="FootnoteReference"/>
          <w:sz w:val="24"/>
          <w:szCs w:val="24"/>
        </w:rPr>
        <w:footnoteReference w:id="63"/>
      </w:r>
      <w:r>
        <w:rPr>
          <w:rFonts w:ascii="Times New Roman" w:hAnsi="Times New Roman"/>
          <w:sz w:val="24"/>
          <w:szCs w:val="24"/>
        </w:rPr>
        <w:t xml:space="preserve"> The PSOE spokesman, Sr. Caldera Sánchez-</w:t>
      </w:r>
      <w:proofErr w:type="spellStart"/>
      <w:r>
        <w:rPr>
          <w:rFonts w:ascii="Times New Roman" w:hAnsi="Times New Roman"/>
          <w:sz w:val="24"/>
          <w:szCs w:val="24"/>
        </w:rPr>
        <w:t>Capitán</w:t>
      </w:r>
      <w:proofErr w:type="spellEnd"/>
      <w:r>
        <w:rPr>
          <w:rFonts w:ascii="Times New Roman" w:hAnsi="Times New Roman"/>
          <w:sz w:val="24"/>
          <w:szCs w:val="24"/>
        </w:rPr>
        <w:t xml:space="preserve">, employed similar arguments in favour of proscribing </w:t>
      </w:r>
      <w:proofErr w:type="spellStart"/>
      <w:r w:rsidRPr="009009B1">
        <w:rPr>
          <w:rFonts w:ascii="Times New Roman" w:hAnsi="Times New Roman"/>
          <w:i/>
          <w:sz w:val="24"/>
          <w:szCs w:val="24"/>
        </w:rPr>
        <w:t>Batasuna</w:t>
      </w:r>
      <w:proofErr w:type="spellEnd"/>
      <w:r>
        <w:rPr>
          <w:rFonts w:ascii="Times New Roman" w:hAnsi="Times New Roman"/>
          <w:sz w:val="24"/>
          <w:szCs w:val="24"/>
        </w:rPr>
        <w:t>, as the following extract illustrates:</w:t>
      </w:r>
    </w:p>
    <w:p w:rsidR="00C2511F" w:rsidRDefault="00C2511F" w:rsidP="00C2511F">
      <w:pPr>
        <w:spacing w:line="360" w:lineRule="auto"/>
        <w:ind w:left="720"/>
        <w:rPr>
          <w:rFonts w:ascii="Times New Roman" w:hAnsi="Times New Roman"/>
          <w:sz w:val="24"/>
          <w:szCs w:val="24"/>
        </w:rPr>
      </w:pPr>
      <w:r>
        <w:rPr>
          <w:rFonts w:ascii="Times New Roman" w:hAnsi="Times New Roman"/>
          <w:sz w:val="24"/>
          <w:szCs w:val="24"/>
        </w:rPr>
        <w:t xml:space="preserve">…the </w:t>
      </w:r>
      <w:proofErr w:type="spellStart"/>
      <w:r w:rsidRPr="009009B1">
        <w:rPr>
          <w:rFonts w:ascii="Times New Roman" w:hAnsi="Times New Roman"/>
          <w:i/>
          <w:sz w:val="24"/>
          <w:szCs w:val="24"/>
        </w:rPr>
        <w:t>Batasuna</w:t>
      </w:r>
      <w:proofErr w:type="spellEnd"/>
      <w:r>
        <w:rPr>
          <w:rFonts w:ascii="Times New Roman" w:hAnsi="Times New Roman"/>
          <w:sz w:val="24"/>
          <w:szCs w:val="24"/>
        </w:rPr>
        <w:t xml:space="preserve"> that we know today is incompatible with democracy and this law is necessary because there is repeated and organised conduct against democracy. What is demanded of </w:t>
      </w:r>
      <w:proofErr w:type="spellStart"/>
      <w:r w:rsidRPr="009009B1">
        <w:rPr>
          <w:rFonts w:ascii="Times New Roman" w:hAnsi="Times New Roman"/>
          <w:i/>
          <w:sz w:val="24"/>
          <w:szCs w:val="24"/>
        </w:rPr>
        <w:t>Batasuna</w:t>
      </w:r>
      <w:proofErr w:type="spellEnd"/>
      <w:r>
        <w:rPr>
          <w:rFonts w:ascii="Times New Roman" w:hAnsi="Times New Roman"/>
          <w:sz w:val="24"/>
          <w:szCs w:val="24"/>
        </w:rPr>
        <w:t xml:space="preserve"> is not that it abandons its ideas but that it uses democratic channels, as it demanded of everyone else.</w:t>
      </w:r>
      <w:r>
        <w:rPr>
          <w:rStyle w:val="FootnoteReference"/>
          <w:sz w:val="24"/>
          <w:szCs w:val="24"/>
        </w:rPr>
        <w:footnoteReference w:id="64"/>
      </w:r>
      <w:r>
        <w:rPr>
          <w:rFonts w:ascii="Times New Roman" w:hAnsi="Times New Roman"/>
          <w:sz w:val="24"/>
          <w:szCs w:val="24"/>
        </w:rPr>
        <w:t xml:space="preserve"> </w:t>
      </w:r>
    </w:p>
    <w:p w:rsidR="00C2511F" w:rsidRDefault="00C2511F" w:rsidP="00C2511F">
      <w:pPr>
        <w:spacing w:line="360" w:lineRule="auto"/>
        <w:rPr>
          <w:rFonts w:ascii="Times New Roman" w:hAnsi="Times New Roman"/>
          <w:sz w:val="24"/>
          <w:szCs w:val="24"/>
        </w:rPr>
      </w:pPr>
      <w:r>
        <w:rPr>
          <w:rFonts w:ascii="Times New Roman" w:hAnsi="Times New Roman"/>
          <w:sz w:val="24"/>
          <w:szCs w:val="24"/>
        </w:rPr>
        <w:t xml:space="preserve">In response to claims from parties banning </w:t>
      </w:r>
      <w:proofErr w:type="spellStart"/>
      <w:r w:rsidRPr="00220B36">
        <w:rPr>
          <w:rFonts w:ascii="Times New Roman" w:hAnsi="Times New Roman"/>
          <w:i/>
          <w:sz w:val="24"/>
          <w:szCs w:val="24"/>
        </w:rPr>
        <w:t>Batasuna</w:t>
      </w:r>
      <w:proofErr w:type="spellEnd"/>
      <w:r>
        <w:rPr>
          <w:rFonts w:ascii="Times New Roman" w:hAnsi="Times New Roman"/>
          <w:sz w:val="24"/>
          <w:szCs w:val="24"/>
        </w:rPr>
        <w:t xml:space="preserve"> because of its supposedly negative consequences for the conflict resolution in the Basque Country, the PP spokesperson, Sr. Arenas </w:t>
      </w:r>
      <w:proofErr w:type="spellStart"/>
      <w:r>
        <w:rPr>
          <w:rFonts w:ascii="Times New Roman" w:hAnsi="Times New Roman"/>
          <w:sz w:val="24"/>
          <w:szCs w:val="24"/>
        </w:rPr>
        <w:t>Bacanegra</w:t>
      </w:r>
      <w:proofErr w:type="spellEnd"/>
      <w:r>
        <w:rPr>
          <w:rFonts w:ascii="Times New Roman" w:hAnsi="Times New Roman"/>
          <w:sz w:val="24"/>
          <w:szCs w:val="24"/>
        </w:rPr>
        <w:t xml:space="preserve"> argued that new party law was ‘very bad news for ETA, its political party and those who are violent’ because it would deny benefits derived from having a political party to support it, namely ‘supply of spokespersons, propaganda, public funds…help for terrorism to organise itself’.</w:t>
      </w:r>
      <w:r>
        <w:rPr>
          <w:rStyle w:val="FootnoteReference"/>
          <w:sz w:val="24"/>
          <w:szCs w:val="24"/>
        </w:rPr>
        <w:footnoteReference w:id="65"/>
      </w:r>
      <w:r>
        <w:rPr>
          <w:rFonts w:ascii="Times New Roman" w:hAnsi="Times New Roman"/>
          <w:sz w:val="24"/>
          <w:szCs w:val="24"/>
        </w:rPr>
        <w:t xml:space="preserve"> Rather, it is ‘the hope of a political negotiation forced from violence’ that can ‘give wings to a violent party’.</w:t>
      </w:r>
      <w:r>
        <w:rPr>
          <w:rStyle w:val="FootnoteReference"/>
          <w:sz w:val="24"/>
          <w:szCs w:val="24"/>
        </w:rPr>
        <w:footnoteReference w:id="66"/>
      </w:r>
    </w:p>
    <w:p w:rsidR="000A3017" w:rsidRDefault="000A3017" w:rsidP="00AD6DC0">
      <w:pPr>
        <w:spacing w:line="360" w:lineRule="auto"/>
        <w:rPr>
          <w:rFonts w:ascii="Times New Roman" w:hAnsi="Times New Roman"/>
          <w:b/>
          <w:i/>
          <w:sz w:val="24"/>
          <w:szCs w:val="24"/>
        </w:rPr>
      </w:pPr>
    </w:p>
    <w:p w:rsidR="00AD6DC0" w:rsidRPr="00591BB1" w:rsidRDefault="00AB7AE8" w:rsidP="00AD6DC0">
      <w:pPr>
        <w:spacing w:line="360" w:lineRule="auto"/>
        <w:rPr>
          <w:rFonts w:ascii="Times New Roman" w:hAnsi="Times New Roman"/>
          <w:b/>
          <w:i/>
          <w:sz w:val="24"/>
          <w:szCs w:val="24"/>
        </w:rPr>
      </w:pPr>
      <w:r>
        <w:rPr>
          <w:rFonts w:ascii="Times New Roman" w:hAnsi="Times New Roman"/>
          <w:b/>
          <w:i/>
          <w:sz w:val="24"/>
          <w:szCs w:val="24"/>
        </w:rPr>
        <w:t>Discourse of tolerance and the legalisation of parties in the United Kingdom</w:t>
      </w:r>
    </w:p>
    <w:p w:rsidR="00AD6DC0" w:rsidRDefault="00AD6DC0" w:rsidP="00AD6DC0">
      <w:pPr>
        <w:spacing w:line="360" w:lineRule="auto"/>
        <w:rPr>
          <w:rFonts w:ascii="Times New Roman" w:hAnsi="Times New Roman"/>
          <w:sz w:val="24"/>
          <w:szCs w:val="24"/>
        </w:rPr>
      </w:pPr>
      <w:r>
        <w:rPr>
          <w:rFonts w:ascii="Times New Roman" w:hAnsi="Times New Roman"/>
          <w:sz w:val="24"/>
          <w:szCs w:val="24"/>
        </w:rPr>
        <w:t xml:space="preserve">When direct rule was introduced in Northern Ireland in March 1972 one of the British government’s main objectives was to establish more equitable political institutions in Northern Ireland (Cunningham, 2001, 12). In this context it faced the question of whether or not to maintain the ban on Republican Clubs and </w:t>
      </w:r>
      <w:r w:rsidRPr="007A4EA9">
        <w:rPr>
          <w:rFonts w:ascii="Times New Roman" w:hAnsi="Times New Roman"/>
          <w:i/>
          <w:sz w:val="24"/>
          <w:szCs w:val="24"/>
        </w:rPr>
        <w:t xml:space="preserve">Sinn </w:t>
      </w:r>
      <w:proofErr w:type="spellStart"/>
      <w:r w:rsidRPr="007A4EA9">
        <w:rPr>
          <w:rFonts w:ascii="Times New Roman" w:hAnsi="Times New Roman"/>
          <w:i/>
          <w:sz w:val="24"/>
          <w:szCs w:val="24"/>
        </w:rPr>
        <w:t>Féin</w:t>
      </w:r>
      <w:proofErr w:type="spellEnd"/>
      <w:r>
        <w:rPr>
          <w:rFonts w:ascii="Times New Roman" w:hAnsi="Times New Roman"/>
          <w:i/>
          <w:sz w:val="24"/>
          <w:szCs w:val="24"/>
        </w:rPr>
        <w:t xml:space="preserve"> </w:t>
      </w:r>
      <w:r>
        <w:rPr>
          <w:rFonts w:ascii="Times New Roman" w:hAnsi="Times New Roman"/>
          <w:sz w:val="24"/>
          <w:szCs w:val="24"/>
        </w:rPr>
        <w:t xml:space="preserve">and it opted to first legalise Republican Clubs in 1973 and then </w:t>
      </w:r>
      <w:r w:rsidRPr="002323CA">
        <w:rPr>
          <w:rFonts w:ascii="Times New Roman" w:hAnsi="Times New Roman"/>
          <w:i/>
          <w:sz w:val="24"/>
          <w:szCs w:val="24"/>
        </w:rPr>
        <w:t xml:space="preserve">Sinn </w:t>
      </w:r>
      <w:proofErr w:type="spellStart"/>
      <w:r w:rsidRPr="002323CA">
        <w:rPr>
          <w:rFonts w:ascii="Times New Roman" w:hAnsi="Times New Roman"/>
          <w:i/>
          <w:sz w:val="24"/>
          <w:szCs w:val="24"/>
        </w:rPr>
        <w:t>Féin</w:t>
      </w:r>
      <w:proofErr w:type="spellEnd"/>
      <w:r>
        <w:rPr>
          <w:rFonts w:ascii="Times New Roman" w:hAnsi="Times New Roman"/>
          <w:sz w:val="24"/>
          <w:szCs w:val="24"/>
        </w:rPr>
        <w:t xml:space="preserve"> in 1974. In both cases, </w:t>
      </w:r>
      <w:r w:rsidRPr="002323CA">
        <w:rPr>
          <w:rFonts w:ascii="Times New Roman" w:hAnsi="Times New Roman"/>
          <w:sz w:val="24"/>
          <w:szCs w:val="24"/>
        </w:rPr>
        <w:t>proscription was seen as an issue with security implications,</w:t>
      </w:r>
      <w:r>
        <w:rPr>
          <w:rFonts w:ascii="Times New Roman" w:hAnsi="Times New Roman"/>
          <w:sz w:val="24"/>
          <w:szCs w:val="24"/>
        </w:rPr>
        <w:t xml:space="preserve"> given the, at best, ambiguous relationship between the parties and terrorist activities, however, both Conservative and Labour parties, while in government or opposition, were </w:t>
      </w:r>
      <w:r w:rsidRPr="00227B3D">
        <w:rPr>
          <w:rFonts w:ascii="Times New Roman" w:hAnsi="Times New Roman"/>
          <w:sz w:val="24"/>
          <w:szCs w:val="24"/>
        </w:rPr>
        <w:t xml:space="preserve">willing to opt for sanctioning individuals for criminal activities rather than treating the party itself as a criminal organisation. Moreover, they were </w:t>
      </w:r>
      <w:r>
        <w:rPr>
          <w:rFonts w:ascii="Times New Roman" w:hAnsi="Times New Roman"/>
          <w:sz w:val="24"/>
          <w:szCs w:val="24"/>
        </w:rPr>
        <w:t xml:space="preserve">willing to </w:t>
      </w:r>
      <w:r w:rsidRPr="00227B3D">
        <w:rPr>
          <w:rFonts w:ascii="Times New Roman" w:hAnsi="Times New Roman"/>
          <w:sz w:val="24"/>
          <w:szCs w:val="24"/>
        </w:rPr>
        <w:t xml:space="preserve">consider factors other than security issues too. Justification for legalization emphasised the importance of parties for the realisation of rights to free speech and their importance as channels for the representation of citizens in the process of </w:t>
      </w:r>
      <w:r w:rsidRPr="00227B3D">
        <w:rPr>
          <w:rFonts w:ascii="Times New Roman" w:hAnsi="Times New Roman"/>
          <w:sz w:val="24"/>
          <w:szCs w:val="24"/>
        </w:rPr>
        <w:lastRenderedPageBreak/>
        <w:t>democratic competition.</w:t>
      </w:r>
      <w:r>
        <w:rPr>
          <w:rFonts w:ascii="Times New Roman" w:hAnsi="Times New Roman"/>
          <w:b/>
          <w:sz w:val="24"/>
          <w:szCs w:val="24"/>
        </w:rPr>
        <w:t xml:space="preserve"> </w:t>
      </w:r>
      <w:r>
        <w:rPr>
          <w:rFonts w:ascii="Times New Roman" w:hAnsi="Times New Roman"/>
          <w:sz w:val="24"/>
          <w:szCs w:val="24"/>
        </w:rPr>
        <w:t xml:space="preserve">Other justifications for legalising the parties emphasised positive consequences for conflict resolution in Northern Ireland, including permitting grievances to be aired through means other than violence and providing opportunities for the </w:t>
      </w:r>
      <w:r w:rsidR="00F73609">
        <w:rPr>
          <w:rFonts w:ascii="Times New Roman" w:hAnsi="Times New Roman"/>
          <w:sz w:val="24"/>
          <w:szCs w:val="24"/>
        </w:rPr>
        <w:t xml:space="preserve">Republican </w:t>
      </w:r>
      <w:r>
        <w:rPr>
          <w:rFonts w:ascii="Times New Roman" w:hAnsi="Times New Roman"/>
          <w:sz w:val="24"/>
          <w:szCs w:val="24"/>
        </w:rPr>
        <w:t xml:space="preserve">movement’s political wing to lead its military wing out of violence. </w:t>
      </w:r>
    </w:p>
    <w:p w:rsidR="00AD6DC0" w:rsidRPr="006908B1" w:rsidRDefault="00AD6DC0" w:rsidP="00AD6DC0">
      <w:pPr>
        <w:spacing w:line="360" w:lineRule="auto"/>
        <w:rPr>
          <w:rFonts w:ascii="Times New Roman" w:hAnsi="Times New Roman"/>
          <w:sz w:val="24"/>
          <w:szCs w:val="24"/>
        </w:rPr>
      </w:pPr>
      <w:r w:rsidRPr="006908B1">
        <w:rPr>
          <w:rFonts w:ascii="Times New Roman" w:hAnsi="Times New Roman"/>
          <w:sz w:val="24"/>
          <w:szCs w:val="24"/>
        </w:rPr>
        <w:t xml:space="preserve">The March 1973 White Paper, </w:t>
      </w:r>
      <w:r w:rsidRPr="006908B1">
        <w:rPr>
          <w:rFonts w:ascii="Times New Roman" w:hAnsi="Times New Roman"/>
          <w:i/>
          <w:sz w:val="24"/>
          <w:szCs w:val="24"/>
        </w:rPr>
        <w:t>Northern Ireland Constitutional Proposals,</w:t>
      </w:r>
      <w:r w:rsidRPr="006908B1">
        <w:rPr>
          <w:rFonts w:ascii="Times New Roman" w:hAnsi="Times New Roman"/>
          <w:sz w:val="24"/>
          <w:szCs w:val="24"/>
        </w:rPr>
        <w:t xml:space="preserve"> which provided a blueprint for the short-lived </w:t>
      </w:r>
      <w:proofErr w:type="spellStart"/>
      <w:r w:rsidRPr="006908B1">
        <w:rPr>
          <w:rFonts w:ascii="Times New Roman" w:hAnsi="Times New Roman"/>
          <w:sz w:val="24"/>
          <w:szCs w:val="24"/>
        </w:rPr>
        <w:t>powersharing</w:t>
      </w:r>
      <w:proofErr w:type="spellEnd"/>
      <w:r w:rsidRPr="006908B1">
        <w:rPr>
          <w:rFonts w:ascii="Times New Roman" w:hAnsi="Times New Roman"/>
          <w:sz w:val="24"/>
          <w:szCs w:val="24"/>
        </w:rPr>
        <w:t xml:space="preserve"> assembly set up in Northern Ireland between July 1973 and May 1974 </w:t>
      </w:r>
      <w:r>
        <w:rPr>
          <w:rFonts w:ascii="Times New Roman" w:hAnsi="Times New Roman"/>
          <w:sz w:val="24"/>
          <w:szCs w:val="24"/>
        </w:rPr>
        <w:t xml:space="preserve">was one of the first policy documents produced by the British government after assuming direct rule in 1972. It initially </w:t>
      </w:r>
      <w:r w:rsidRPr="006908B1">
        <w:rPr>
          <w:rFonts w:ascii="Times New Roman" w:hAnsi="Times New Roman"/>
          <w:sz w:val="24"/>
          <w:szCs w:val="24"/>
        </w:rPr>
        <w:t>adopted an ambiguous position regarding proscription.</w:t>
      </w:r>
      <w:r w:rsidRPr="006908B1">
        <w:rPr>
          <w:rStyle w:val="FootnoteReference"/>
          <w:sz w:val="24"/>
          <w:szCs w:val="24"/>
        </w:rPr>
        <w:footnoteReference w:id="67"/>
      </w:r>
      <w:r w:rsidRPr="006908B1">
        <w:rPr>
          <w:rFonts w:ascii="Times New Roman" w:hAnsi="Times New Roman"/>
          <w:sz w:val="24"/>
          <w:szCs w:val="24"/>
        </w:rPr>
        <w:t xml:space="preserve"> After noting that ‘the essence of the new constitutional and other arrangements is fairness; equality of treatment and of opportunity; the absence of bias of any sort’, the White paper stated: </w:t>
      </w:r>
    </w:p>
    <w:p w:rsidR="00AD6DC0" w:rsidRPr="006908B1" w:rsidRDefault="00AD6DC0" w:rsidP="00AD6DC0">
      <w:pPr>
        <w:spacing w:line="360" w:lineRule="auto"/>
        <w:ind w:left="720"/>
        <w:rPr>
          <w:rFonts w:ascii="Times New Roman" w:hAnsi="Times New Roman"/>
          <w:sz w:val="24"/>
          <w:szCs w:val="24"/>
        </w:rPr>
      </w:pPr>
      <w:r w:rsidRPr="006908B1">
        <w:rPr>
          <w:rFonts w:ascii="Times New Roman" w:hAnsi="Times New Roman"/>
          <w:sz w:val="24"/>
          <w:szCs w:val="24"/>
        </w:rPr>
        <w:t>Any person in Northern Ireland, whatever his political beliefs, may advance them peacefully without fear. But no person or organisation can expect to be allowed to be acting politically at one moment and then, given what appears a favourable opportunity, to turn to violence and subversion.</w:t>
      </w:r>
      <w:r w:rsidRPr="006908B1">
        <w:rPr>
          <w:rStyle w:val="FootnoteReference"/>
          <w:sz w:val="24"/>
          <w:szCs w:val="24"/>
        </w:rPr>
        <w:footnoteReference w:id="68"/>
      </w:r>
    </w:p>
    <w:p w:rsidR="00AD6DC0" w:rsidRPr="006908B1" w:rsidRDefault="00AD6DC0" w:rsidP="00AD6DC0">
      <w:pPr>
        <w:spacing w:line="360" w:lineRule="auto"/>
        <w:rPr>
          <w:rFonts w:ascii="Times New Roman" w:hAnsi="Times New Roman"/>
          <w:sz w:val="24"/>
          <w:szCs w:val="24"/>
        </w:rPr>
      </w:pPr>
      <w:r w:rsidRPr="006908B1">
        <w:rPr>
          <w:rFonts w:ascii="Times New Roman" w:hAnsi="Times New Roman"/>
          <w:sz w:val="24"/>
          <w:szCs w:val="24"/>
        </w:rPr>
        <w:t>This statement was been referred to frequently in debates on the legalisation of the Republican Clubs and Sinn Fein.</w:t>
      </w:r>
    </w:p>
    <w:p w:rsidR="00AD6DC0" w:rsidRPr="006908B1" w:rsidRDefault="00AD6DC0" w:rsidP="00AD6DC0">
      <w:pPr>
        <w:spacing w:line="360" w:lineRule="auto"/>
        <w:rPr>
          <w:rFonts w:ascii="Times New Roman" w:hAnsi="Times New Roman"/>
          <w:sz w:val="24"/>
          <w:szCs w:val="24"/>
        </w:rPr>
      </w:pPr>
      <w:r w:rsidRPr="006908B1">
        <w:rPr>
          <w:rFonts w:ascii="Times New Roman" w:hAnsi="Times New Roman"/>
          <w:sz w:val="24"/>
          <w:szCs w:val="24"/>
        </w:rPr>
        <w:t xml:space="preserve">In contrast to authorities in Northern Ireland prior to direct rule, </w:t>
      </w:r>
      <w:r w:rsidR="00F73609">
        <w:rPr>
          <w:rFonts w:ascii="Times New Roman" w:hAnsi="Times New Roman"/>
          <w:sz w:val="24"/>
          <w:szCs w:val="24"/>
        </w:rPr>
        <w:t xml:space="preserve">in </w:t>
      </w:r>
      <w:r w:rsidRPr="006908B1">
        <w:rPr>
          <w:rFonts w:ascii="Times New Roman" w:hAnsi="Times New Roman"/>
          <w:sz w:val="24"/>
          <w:szCs w:val="24"/>
        </w:rPr>
        <w:t xml:space="preserve">the White Paper the </w:t>
      </w:r>
      <w:r w:rsidR="00F73609">
        <w:rPr>
          <w:rFonts w:ascii="Times New Roman" w:hAnsi="Times New Roman"/>
          <w:sz w:val="24"/>
          <w:szCs w:val="24"/>
        </w:rPr>
        <w:t xml:space="preserve">British </w:t>
      </w:r>
      <w:r w:rsidRPr="006908B1">
        <w:rPr>
          <w:rFonts w:ascii="Times New Roman" w:hAnsi="Times New Roman"/>
          <w:sz w:val="24"/>
          <w:szCs w:val="24"/>
        </w:rPr>
        <w:t xml:space="preserve">government constructs proscription as a human rights </w:t>
      </w:r>
      <w:r w:rsidR="00F73609">
        <w:rPr>
          <w:rFonts w:ascii="Times New Roman" w:hAnsi="Times New Roman"/>
          <w:sz w:val="24"/>
          <w:szCs w:val="24"/>
        </w:rPr>
        <w:t xml:space="preserve">issue </w:t>
      </w:r>
      <w:r w:rsidRPr="006908B1">
        <w:rPr>
          <w:rFonts w:ascii="Times New Roman" w:hAnsi="Times New Roman"/>
          <w:sz w:val="24"/>
          <w:szCs w:val="24"/>
        </w:rPr>
        <w:t>rather than one of law and order issue. The above statement was made in the White Paper’s fourth part, titled ‘A Charter of Human Rights’ and was preceded by the statements that ‘basic standards’ of ‘authority and law’ included ‘freedom to advance any political or constitutional cause by non-violent means’</w:t>
      </w:r>
      <w:r w:rsidRPr="006908B1">
        <w:rPr>
          <w:rStyle w:val="FootnoteReference"/>
          <w:sz w:val="24"/>
          <w:szCs w:val="24"/>
        </w:rPr>
        <w:footnoteReference w:id="69"/>
      </w:r>
      <w:r w:rsidRPr="006908B1">
        <w:rPr>
          <w:rFonts w:ascii="Times New Roman" w:hAnsi="Times New Roman"/>
          <w:sz w:val="24"/>
          <w:szCs w:val="24"/>
        </w:rPr>
        <w:t xml:space="preserve"> and the ‘freedom to advance one</w:t>
      </w:r>
      <w:r>
        <w:rPr>
          <w:rFonts w:ascii="Times New Roman" w:hAnsi="Times New Roman"/>
          <w:sz w:val="24"/>
          <w:szCs w:val="24"/>
        </w:rPr>
        <w:t>’</w:t>
      </w:r>
      <w:r w:rsidRPr="006908B1">
        <w:rPr>
          <w:rFonts w:ascii="Times New Roman" w:hAnsi="Times New Roman"/>
          <w:sz w:val="24"/>
          <w:szCs w:val="24"/>
        </w:rPr>
        <w:t>s own ideas involves a comparable freedom for others to advance theirs, and an acceptance that a minority has no right to force its views upon a majority, as distinct from seeking to convince them’.</w:t>
      </w:r>
      <w:r w:rsidRPr="006908B1">
        <w:rPr>
          <w:rStyle w:val="FootnoteReference"/>
          <w:sz w:val="24"/>
          <w:szCs w:val="24"/>
        </w:rPr>
        <w:footnoteReference w:id="70"/>
      </w:r>
      <w:r w:rsidRPr="006908B1">
        <w:rPr>
          <w:rFonts w:ascii="Times New Roman" w:hAnsi="Times New Roman"/>
          <w:sz w:val="24"/>
          <w:szCs w:val="24"/>
        </w:rPr>
        <w:t xml:space="preserve"> </w:t>
      </w:r>
    </w:p>
    <w:p w:rsidR="00AD6DC0" w:rsidRPr="006908B1" w:rsidRDefault="00AD6DC0" w:rsidP="00AD6DC0">
      <w:pPr>
        <w:spacing w:line="360" w:lineRule="auto"/>
        <w:rPr>
          <w:rFonts w:ascii="Times New Roman" w:hAnsi="Times New Roman"/>
          <w:sz w:val="24"/>
          <w:szCs w:val="24"/>
        </w:rPr>
      </w:pPr>
      <w:r>
        <w:rPr>
          <w:rFonts w:ascii="Times New Roman" w:hAnsi="Times New Roman"/>
          <w:sz w:val="24"/>
          <w:szCs w:val="24"/>
        </w:rPr>
        <w:t xml:space="preserve">In the White Paper, </w:t>
      </w:r>
      <w:r w:rsidRPr="006908B1">
        <w:rPr>
          <w:rFonts w:ascii="Times New Roman" w:hAnsi="Times New Roman"/>
          <w:sz w:val="24"/>
          <w:szCs w:val="24"/>
        </w:rPr>
        <w:t>the government also locates past practices of limiting free expression as a contributing factor in the conflict. It states:</w:t>
      </w:r>
    </w:p>
    <w:p w:rsidR="00AD6DC0" w:rsidRPr="006908B1" w:rsidRDefault="00AD6DC0" w:rsidP="00AD6DC0">
      <w:pPr>
        <w:spacing w:line="360" w:lineRule="auto"/>
        <w:ind w:left="720"/>
        <w:rPr>
          <w:rFonts w:ascii="Times New Roman" w:hAnsi="Times New Roman"/>
          <w:sz w:val="24"/>
          <w:szCs w:val="24"/>
        </w:rPr>
      </w:pPr>
      <w:r w:rsidRPr="006908B1">
        <w:rPr>
          <w:rFonts w:ascii="Times New Roman" w:hAnsi="Times New Roman"/>
          <w:sz w:val="24"/>
          <w:szCs w:val="24"/>
        </w:rPr>
        <w:lastRenderedPageBreak/>
        <w:t>A fundamental problem since the earliest years of Northern Ireland’s existence has been disagreement not just about how Northern Ireland should be governed, but as to whether it should continue to exist at all. Those in Northern Ireland who have supported its continued membership of the United Kingdom have seen themselves faced by an unremitting campaign to discredit and dismantle the constitutional system. Their opponents, on the other hand, have claimed that valid political opposition has been treated as subversion, and used as a pretext to preclude them from any real share of political power or influence in Northern Ireland’s affairs.</w:t>
      </w:r>
      <w:r w:rsidRPr="006908B1">
        <w:rPr>
          <w:rStyle w:val="FootnoteReference"/>
          <w:sz w:val="24"/>
          <w:szCs w:val="24"/>
        </w:rPr>
        <w:footnoteReference w:id="71"/>
      </w:r>
      <w:r w:rsidRPr="006908B1">
        <w:rPr>
          <w:rFonts w:ascii="Times New Roman" w:hAnsi="Times New Roman"/>
          <w:sz w:val="24"/>
          <w:szCs w:val="24"/>
        </w:rPr>
        <w:t xml:space="preserve"> </w:t>
      </w:r>
    </w:p>
    <w:p w:rsidR="00AD6DC0" w:rsidRPr="006908B1" w:rsidRDefault="00AD6DC0" w:rsidP="00AD6DC0">
      <w:pPr>
        <w:pStyle w:val="ListParagraph"/>
        <w:spacing w:line="360" w:lineRule="auto"/>
        <w:ind w:left="0"/>
        <w:rPr>
          <w:rFonts w:ascii="Times New Roman" w:hAnsi="Times New Roman"/>
          <w:sz w:val="24"/>
          <w:szCs w:val="24"/>
          <w:lang w:val="en-US"/>
        </w:rPr>
      </w:pPr>
      <w:r w:rsidRPr="006908B1">
        <w:rPr>
          <w:rFonts w:ascii="Times New Roman" w:hAnsi="Times New Roman"/>
          <w:sz w:val="24"/>
          <w:szCs w:val="24"/>
          <w:lang w:val="en-US"/>
        </w:rPr>
        <w:t xml:space="preserve">Announcing the decision to </w:t>
      </w:r>
      <w:proofErr w:type="spellStart"/>
      <w:r w:rsidRPr="006908B1">
        <w:rPr>
          <w:rFonts w:ascii="Times New Roman" w:hAnsi="Times New Roman"/>
          <w:sz w:val="24"/>
          <w:szCs w:val="24"/>
          <w:lang w:val="en-US"/>
        </w:rPr>
        <w:t>legalise</w:t>
      </w:r>
      <w:proofErr w:type="spellEnd"/>
      <w:r w:rsidRPr="006908B1">
        <w:rPr>
          <w:rFonts w:ascii="Times New Roman" w:hAnsi="Times New Roman"/>
          <w:sz w:val="24"/>
          <w:szCs w:val="24"/>
          <w:lang w:val="en-US"/>
        </w:rPr>
        <w:t xml:space="preserve"> Republican Clubs, the Conservative Minister of State for Northern Ireland, David Howell, argued that while it was ‘necessary during the period of emergency to make membership of certain organizations unlawful’ there was now a case for relaxing proscription of Republican Clubs linked to the proposed Assembly Elections.</w:t>
      </w:r>
      <w:r w:rsidRPr="006908B1">
        <w:rPr>
          <w:rStyle w:val="FootnoteReference"/>
          <w:sz w:val="24"/>
          <w:szCs w:val="24"/>
          <w:lang w:val="en-US"/>
        </w:rPr>
        <w:footnoteReference w:id="72"/>
      </w:r>
      <w:r w:rsidRPr="006908B1">
        <w:rPr>
          <w:rFonts w:ascii="Times New Roman" w:hAnsi="Times New Roman"/>
          <w:sz w:val="24"/>
          <w:szCs w:val="24"/>
          <w:lang w:val="en-US"/>
        </w:rPr>
        <w:t xml:space="preserve">  The Secretary of State’s decision to </w:t>
      </w:r>
      <w:proofErr w:type="spellStart"/>
      <w:r w:rsidRPr="006908B1">
        <w:rPr>
          <w:rFonts w:ascii="Times New Roman" w:hAnsi="Times New Roman"/>
          <w:sz w:val="24"/>
          <w:szCs w:val="24"/>
          <w:lang w:val="en-US"/>
        </w:rPr>
        <w:t>legalise</w:t>
      </w:r>
      <w:proofErr w:type="spellEnd"/>
      <w:r w:rsidRPr="006908B1">
        <w:rPr>
          <w:rFonts w:ascii="Times New Roman" w:hAnsi="Times New Roman"/>
          <w:sz w:val="24"/>
          <w:szCs w:val="24"/>
          <w:lang w:val="en-US"/>
        </w:rPr>
        <w:t xml:space="preserve"> Republican </w:t>
      </w:r>
      <w:r>
        <w:rPr>
          <w:rFonts w:ascii="Times New Roman" w:hAnsi="Times New Roman"/>
          <w:sz w:val="24"/>
          <w:szCs w:val="24"/>
          <w:lang w:val="en-US"/>
        </w:rPr>
        <w:t>C</w:t>
      </w:r>
      <w:r w:rsidRPr="006908B1">
        <w:rPr>
          <w:rFonts w:ascii="Times New Roman" w:hAnsi="Times New Roman"/>
          <w:sz w:val="24"/>
          <w:szCs w:val="24"/>
          <w:lang w:val="en-US"/>
        </w:rPr>
        <w:t>lubs was based on the judgment that: ‘</w:t>
      </w:r>
      <w:r w:rsidRPr="006908B1">
        <w:rPr>
          <w:rFonts w:ascii="Times New Roman" w:hAnsi="Times New Roman"/>
          <w:sz w:val="24"/>
          <w:szCs w:val="24"/>
        </w:rPr>
        <w:t>there are members of Republican Clubs who seek to promote views to do with the 32 counties by non-violent means and who in fact condemn violent means’.</w:t>
      </w:r>
      <w:r w:rsidRPr="006908B1">
        <w:rPr>
          <w:rStyle w:val="FootnoteReference"/>
          <w:sz w:val="24"/>
          <w:szCs w:val="24"/>
        </w:rPr>
        <w:footnoteReference w:id="73"/>
      </w:r>
      <w:r w:rsidRPr="006908B1">
        <w:rPr>
          <w:rFonts w:ascii="Times New Roman" w:hAnsi="Times New Roman"/>
          <w:sz w:val="24"/>
          <w:szCs w:val="24"/>
        </w:rPr>
        <w:t xml:space="preserve"> </w:t>
      </w:r>
      <w:r w:rsidRPr="006908B1">
        <w:rPr>
          <w:rFonts w:ascii="Times New Roman" w:hAnsi="Times New Roman"/>
          <w:sz w:val="24"/>
          <w:szCs w:val="24"/>
          <w:lang w:val="en-US"/>
        </w:rPr>
        <w:t>In response to questions about the organizations continued link with the Official IRA, the minister argued that it was ‘wholly acceptable’ for the Republican Clubs to put forward candidates ‘advancing views to do with their beliefs in the 32 counties’ but that criminal activities by members of Republican Clubs could be addressed by the police and the courts.</w:t>
      </w:r>
      <w:r w:rsidRPr="006908B1">
        <w:rPr>
          <w:rStyle w:val="FootnoteReference"/>
          <w:sz w:val="24"/>
          <w:szCs w:val="24"/>
          <w:lang w:val="en-US"/>
        </w:rPr>
        <w:footnoteReference w:id="74"/>
      </w:r>
      <w:r w:rsidRPr="006908B1">
        <w:rPr>
          <w:rFonts w:ascii="Times New Roman" w:hAnsi="Times New Roman"/>
          <w:sz w:val="24"/>
          <w:szCs w:val="24"/>
          <w:lang w:val="en-US"/>
        </w:rPr>
        <w:t xml:space="preserve"> ‘It has always’, he stated, been the policy of Her Majesty’s government to encourage the free expression of political views – and I </w:t>
      </w:r>
      <w:proofErr w:type="spellStart"/>
      <w:r w:rsidRPr="006908B1">
        <w:rPr>
          <w:rFonts w:ascii="Times New Roman" w:hAnsi="Times New Roman"/>
          <w:sz w:val="24"/>
          <w:szCs w:val="24"/>
          <w:lang w:val="en-US"/>
        </w:rPr>
        <w:t>emphasise</w:t>
      </w:r>
      <w:proofErr w:type="spellEnd"/>
      <w:r w:rsidRPr="006908B1">
        <w:rPr>
          <w:rFonts w:ascii="Times New Roman" w:hAnsi="Times New Roman"/>
          <w:sz w:val="24"/>
          <w:szCs w:val="24"/>
          <w:lang w:val="en-US"/>
        </w:rPr>
        <w:t xml:space="preserve"> political views – in Northern Ireland’.</w:t>
      </w:r>
      <w:r w:rsidRPr="006908B1">
        <w:rPr>
          <w:rStyle w:val="FootnoteReference"/>
          <w:sz w:val="24"/>
          <w:szCs w:val="24"/>
          <w:lang w:val="en-US"/>
        </w:rPr>
        <w:footnoteReference w:id="75"/>
      </w:r>
      <w:r w:rsidRPr="006908B1">
        <w:rPr>
          <w:rFonts w:ascii="Times New Roman" w:hAnsi="Times New Roman"/>
          <w:sz w:val="24"/>
          <w:szCs w:val="24"/>
          <w:lang w:val="en-US"/>
        </w:rPr>
        <w:t xml:space="preserve">  However, Howell also said the government had not yet made up its mind on Sinn Fein and that there were important differences between Sinn Fein and Republican Clubs:</w:t>
      </w:r>
    </w:p>
    <w:p w:rsidR="00AD6DC0" w:rsidRPr="006908B1" w:rsidRDefault="00AD6DC0" w:rsidP="00AD6DC0">
      <w:pPr>
        <w:pStyle w:val="ListParagraph"/>
        <w:spacing w:line="360" w:lineRule="auto"/>
        <w:rPr>
          <w:rFonts w:ascii="Times New Roman" w:hAnsi="Times New Roman"/>
          <w:sz w:val="24"/>
          <w:szCs w:val="24"/>
          <w:lang w:val="en-US"/>
        </w:rPr>
      </w:pPr>
      <w:r w:rsidRPr="006908B1">
        <w:rPr>
          <w:rFonts w:ascii="Times New Roman" w:hAnsi="Times New Roman"/>
          <w:sz w:val="24"/>
          <w:szCs w:val="24"/>
          <w:lang w:val="en-US"/>
        </w:rPr>
        <w:t xml:space="preserve"> </w:t>
      </w:r>
      <w:r w:rsidRPr="006908B1">
        <w:rPr>
          <w:rFonts w:ascii="Times New Roman" w:hAnsi="Times New Roman"/>
          <w:sz w:val="24"/>
          <w:szCs w:val="24"/>
        </w:rPr>
        <w:t xml:space="preserve">…Sinn Fein, as an organisation, advocates violence as a means of achieving its ends and does not simply advocate ends with which people disagree. That cannot be precisely said to be so in the case of the Republican Clubs. It cannot be generally said that Republican Clubs, as an organisation, advocate violence. Many of its members do not advocate it…. the </w:t>
      </w:r>
      <w:r w:rsidRPr="006908B1">
        <w:rPr>
          <w:rFonts w:ascii="Times New Roman" w:hAnsi="Times New Roman"/>
          <w:sz w:val="24"/>
          <w:szCs w:val="24"/>
        </w:rPr>
        <w:lastRenderedPageBreak/>
        <w:t xml:space="preserve">Republican Clubs form an organisation which wishes to put forward political views and, on the whole, does not pursue them by violent ends.’ </w:t>
      </w:r>
      <w:r w:rsidRPr="006908B1">
        <w:rPr>
          <w:rStyle w:val="FootnoteReference"/>
          <w:sz w:val="24"/>
          <w:szCs w:val="24"/>
        </w:rPr>
        <w:footnoteReference w:id="76"/>
      </w:r>
    </w:p>
    <w:p w:rsidR="00AD6DC0" w:rsidRPr="006908B1" w:rsidRDefault="00AD6DC0" w:rsidP="00AD6DC0">
      <w:pPr>
        <w:pStyle w:val="ListParagraph"/>
        <w:spacing w:line="360" w:lineRule="auto"/>
        <w:ind w:left="0"/>
        <w:rPr>
          <w:rFonts w:ascii="Times New Roman" w:hAnsi="Times New Roman"/>
          <w:sz w:val="24"/>
          <w:szCs w:val="24"/>
          <w:lang w:val="en-US"/>
        </w:rPr>
      </w:pPr>
    </w:p>
    <w:p w:rsidR="00AD6DC0" w:rsidRPr="006908B1" w:rsidRDefault="00AD6DC0" w:rsidP="00AD6DC0">
      <w:pPr>
        <w:pStyle w:val="ListParagraph"/>
        <w:spacing w:line="360" w:lineRule="auto"/>
        <w:ind w:left="0"/>
        <w:rPr>
          <w:rFonts w:ascii="Times New Roman" w:hAnsi="Times New Roman"/>
          <w:sz w:val="24"/>
          <w:szCs w:val="24"/>
          <w:lang w:val="en-US"/>
        </w:rPr>
      </w:pPr>
      <w:r w:rsidRPr="006908B1">
        <w:rPr>
          <w:rFonts w:ascii="Times New Roman" w:hAnsi="Times New Roman"/>
          <w:sz w:val="24"/>
          <w:szCs w:val="24"/>
          <w:lang w:val="en-US"/>
        </w:rPr>
        <w:t xml:space="preserve">The Wilson </w:t>
      </w:r>
      <w:proofErr w:type="spellStart"/>
      <w:r w:rsidRPr="006908B1">
        <w:rPr>
          <w:rFonts w:ascii="Times New Roman" w:hAnsi="Times New Roman"/>
          <w:sz w:val="24"/>
          <w:szCs w:val="24"/>
          <w:lang w:val="en-US"/>
        </w:rPr>
        <w:t>Labour</w:t>
      </w:r>
      <w:proofErr w:type="spellEnd"/>
      <w:r w:rsidRPr="006908B1">
        <w:rPr>
          <w:rFonts w:ascii="Times New Roman" w:hAnsi="Times New Roman"/>
          <w:sz w:val="24"/>
          <w:szCs w:val="24"/>
          <w:lang w:val="en-US"/>
        </w:rPr>
        <w:t xml:space="preserve"> government’s decision to </w:t>
      </w:r>
      <w:proofErr w:type="spellStart"/>
      <w:r w:rsidRPr="006908B1">
        <w:rPr>
          <w:rFonts w:ascii="Times New Roman" w:hAnsi="Times New Roman"/>
          <w:sz w:val="24"/>
          <w:szCs w:val="24"/>
          <w:lang w:val="en-US"/>
        </w:rPr>
        <w:t>legalise</w:t>
      </w:r>
      <w:proofErr w:type="spellEnd"/>
      <w:r w:rsidRPr="006908B1">
        <w:rPr>
          <w:rFonts w:ascii="Times New Roman" w:hAnsi="Times New Roman"/>
          <w:sz w:val="24"/>
          <w:szCs w:val="24"/>
          <w:lang w:val="en-US"/>
        </w:rPr>
        <w:t xml:space="preserve"> Sinn </w:t>
      </w:r>
      <w:proofErr w:type="spellStart"/>
      <w:r w:rsidRPr="006908B1">
        <w:rPr>
          <w:rFonts w:ascii="Times New Roman" w:hAnsi="Times New Roman"/>
          <w:sz w:val="24"/>
          <w:szCs w:val="24"/>
          <w:lang w:val="en-US"/>
        </w:rPr>
        <w:t>Féin</w:t>
      </w:r>
      <w:proofErr w:type="spellEnd"/>
      <w:r w:rsidRPr="006908B1">
        <w:rPr>
          <w:rFonts w:ascii="Times New Roman" w:hAnsi="Times New Roman"/>
          <w:sz w:val="24"/>
          <w:szCs w:val="24"/>
          <w:lang w:val="en-US"/>
        </w:rPr>
        <w:t xml:space="preserve"> and (and the UVF) was announced by secretary of state for Northern Ireland, Merlyn Rees, in the House of Commons on 4 April 1974.</w:t>
      </w:r>
      <w:r w:rsidRPr="006908B1">
        <w:rPr>
          <w:rStyle w:val="FootnoteReference"/>
          <w:sz w:val="24"/>
          <w:szCs w:val="24"/>
          <w:lang w:val="en-US"/>
        </w:rPr>
        <w:footnoteReference w:id="77"/>
      </w:r>
      <w:r w:rsidRPr="006908B1">
        <w:rPr>
          <w:rFonts w:ascii="Times New Roman" w:hAnsi="Times New Roman"/>
          <w:sz w:val="24"/>
          <w:szCs w:val="24"/>
          <w:lang w:val="en-US"/>
        </w:rPr>
        <w:t xml:space="preserve"> Rees justified legalization in the following terms: </w:t>
      </w:r>
    </w:p>
    <w:p w:rsidR="00AD6DC0" w:rsidRPr="006908B1" w:rsidRDefault="00AD6DC0" w:rsidP="00AD6DC0">
      <w:pPr>
        <w:pStyle w:val="ListParagraph"/>
        <w:spacing w:line="360" w:lineRule="auto"/>
        <w:rPr>
          <w:rFonts w:ascii="Times New Roman" w:hAnsi="Times New Roman"/>
          <w:sz w:val="24"/>
          <w:szCs w:val="24"/>
          <w:lang w:val="en-US"/>
        </w:rPr>
      </w:pPr>
      <w:r w:rsidRPr="006908B1">
        <w:rPr>
          <w:rFonts w:ascii="Times New Roman" w:hAnsi="Times New Roman"/>
          <w:sz w:val="24"/>
          <w:szCs w:val="24"/>
          <w:lang w:val="en-US"/>
        </w:rPr>
        <w:t>In my view, there are signs that on both extreme wings, there are people who, although at one time committed to violence, would now like to find a way back into political activity. It is right to encourage this as much as possible. It is the counterpart of our action against those who use violence…There is a balance to strike between the political and military action…Now is the time to try to make further political progress</w:t>
      </w:r>
      <w:r>
        <w:rPr>
          <w:rFonts w:ascii="Times New Roman" w:hAnsi="Times New Roman"/>
          <w:sz w:val="24"/>
          <w:szCs w:val="24"/>
          <w:lang w:val="en-US"/>
        </w:rPr>
        <w:t>.</w:t>
      </w:r>
      <w:r>
        <w:rPr>
          <w:rStyle w:val="FootnoteReference"/>
          <w:sz w:val="24"/>
          <w:szCs w:val="24"/>
          <w:lang w:val="en-US"/>
        </w:rPr>
        <w:footnoteReference w:id="78"/>
      </w:r>
      <w:r w:rsidRPr="006908B1">
        <w:rPr>
          <w:rFonts w:ascii="Times New Roman" w:hAnsi="Times New Roman"/>
          <w:sz w:val="24"/>
          <w:szCs w:val="24"/>
          <w:lang w:val="en-US"/>
        </w:rPr>
        <w:t xml:space="preserve"> </w:t>
      </w:r>
    </w:p>
    <w:p w:rsidR="00AD6DC0" w:rsidRPr="006908B1" w:rsidRDefault="00AD6DC0" w:rsidP="00AD6DC0">
      <w:pPr>
        <w:pStyle w:val="ListParagraph"/>
        <w:spacing w:line="360" w:lineRule="auto"/>
        <w:rPr>
          <w:rFonts w:ascii="Times New Roman" w:hAnsi="Times New Roman"/>
          <w:sz w:val="24"/>
          <w:szCs w:val="24"/>
          <w:lang w:val="en-US"/>
        </w:rPr>
      </w:pPr>
      <w:r w:rsidRPr="006908B1">
        <w:rPr>
          <w:rFonts w:ascii="Times New Roman" w:hAnsi="Times New Roman"/>
          <w:sz w:val="24"/>
          <w:szCs w:val="24"/>
          <w:lang w:val="en-US"/>
        </w:rPr>
        <w:t xml:space="preserve"> </w:t>
      </w:r>
    </w:p>
    <w:p w:rsidR="00AD6DC0" w:rsidRPr="006908B1" w:rsidRDefault="00AD6DC0" w:rsidP="00AD6DC0">
      <w:pPr>
        <w:pStyle w:val="ListParagraph"/>
        <w:spacing w:line="360" w:lineRule="auto"/>
        <w:ind w:left="0"/>
        <w:rPr>
          <w:rFonts w:ascii="Times New Roman" w:hAnsi="Times New Roman"/>
          <w:sz w:val="24"/>
          <w:szCs w:val="24"/>
          <w:lang w:val="en-US"/>
        </w:rPr>
      </w:pPr>
      <w:r w:rsidRPr="006908B1">
        <w:rPr>
          <w:rFonts w:ascii="Times New Roman" w:hAnsi="Times New Roman"/>
          <w:sz w:val="24"/>
          <w:szCs w:val="24"/>
          <w:lang w:val="en-US"/>
        </w:rPr>
        <w:t>Presenting the Amendment to the Northern Ireland (Emergency Provisions) Act 1973 (Amendment) Order 1974, by which Sinn Fein and the Ulster Volunteer Force would be legalized, to the Lords, the Parliamentary Undersecretary of State, Northern Ireland Office, Lord Donaldson of Knightsbridge, also stated:</w:t>
      </w:r>
    </w:p>
    <w:p w:rsidR="00AD6DC0" w:rsidRPr="006908B1" w:rsidRDefault="00AD6DC0" w:rsidP="00AD6DC0">
      <w:pPr>
        <w:pStyle w:val="ListParagraph"/>
        <w:spacing w:line="360" w:lineRule="auto"/>
        <w:rPr>
          <w:rFonts w:ascii="Times New Roman" w:hAnsi="Times New Roman"/>
          <w:sz w:val="24"/>
          <w:szCs w:val="24"/>
          <w:lang w:val="en-US"/>
        </w:rPr>
      </w:pPr>
      <w:r w:rsidRPr="006908B1">
        <w:rPr>
          <w:rFonts w:ascii="Times New Roman" w:hAnsi="Times New Roman"/>
          <w:sz w:val="24"/>
          <w:szCs w:val="24"/>
          <w:lang w:val="en-US"/>
        </w:rPr>
        <w:t>The government hope is that, by enabling the UVF and Sinn Fein to operate openly, people who share the political opinions of those organizations will express them peacefully and within the law. The previous administration acted on similar motives when it de-proscribed the Republican Clubs. In the past, it has not been possible, for example, for members of Sinn Fein to put forward their views about the future of Northern Ireland without fear of prosecution for belonging to a proscribed organization.</w:t>
      </w:r>
      <w:r w:rsidRPr="006908B1">
        <w:rPr>
          <w:rStyle w:val="FootnoteReference"/>
          <w:sz w:val="24"/>
          <w:szCs w:val="24"/>
          <w:lang w:val="en-US"/>
        </w:rPr>
        <w:footnoteReference w:id="79"/>
      </w:r>
      <w:r w:rsidRPr="006908B1">
        <w:rPr>
          <w:rFonts w:ascii="Times New Roman" w:hAnsi="Times New Roman"/>
          <w:sz w:val="24"/>
          <w:szCs w:val="24"/>
          <w:lang w:val="en-US"/>
        </w:rPr>
        <w:t xml:space="preserve"> </w:t>
      </w:r>
    </w:p>
    <w:p w:rsidR="00AD6DC0" w:rsidRPr="006908B1" w:rsidRDefault="00AD6DC0" w:rsidP="00AD6DC0">
      <w:pPr>
        <w:pStyle w:val="ListParagraph"/>
        <w:spacing w:line="360" w:lineRule="auto"/>
        <w:ind w:left="0"/>
        <w:rPr>
          <w:rFonts w:ascii="Times New Roman" w:hAnsi="Times New Roman"/>
          <w:sz w:val="24"/>
          <w:szCs w:val="24"/>
          <w:lang w:val="en-US"/>
        </w:rPr>
      </w:pPr>
    </w:p>
    <w:p w:rsidR="00AD6DC0" w:rsidRPr="006908B1" w:rsidRDefault="00AD6DC0" w:rsidP="00AD6DC0">
      <w:pPr>
        <w:pStyle w:val="ListParagraph"/>
        <w:spacing w:line="360" w:lineRule="auto"/>
        <w:ind w:left="0"/>
        <w:rPr>
          <w:rFonts w:ascii="Times New Roman" w:hAnsi="Times New Roman"/>
          <w:sz w:val="24"/>
          <w:szCs w:val="24"/>
          <w:lang w:val="en-US"/>
        </w:rPr>
      </w:pPr>
      <w:r w:rsidRPr="006908B1">
        <w:rPr>
          <w:rFonts w:ascii="Times New Roman" w:hAnsi="Times New Roman"/>
          <w:sz w:val="24"/>
          <w:szCs w:val="24"/>
          <w:lang w:val="en-US"/>
        </w:rPr>
        <w:t>In addition to its possible contribution to ending violence, MPs from government and opposition parties made a number of other arguments supporting legalization. Doubts were raised by Rees and Lord Donaldson about the effectiveness of proscription.  While Rees expressed ‘doubts about the effectiveness of the concept of proscription’</w:t>
      </w:r>
      <w:r>
        <w:rPr>
          <w:rFonts w:ascii="Times New Roman" w:hAnsi="Times New Roman"/>
          <w:sz w:val="24"/>
          <w:szCs w:val="24"/>
          <w:lang w:val="en-US"/>
        </w:rPr>
        <w:t>,</w:t>
      </w:r>
      <w:r>
        <w:rPr>
          <w:rStyle w:val="FootnoteReference"/>
          <w:sz w:val="24"/>
          <w:szCs w:val="24"/>
          <w:lang w:val="en-US"/>
        </w:rPr>
        <w:footnoteReference w:id="80"/>
      </w:r>
      <w:r w:rsidRPr="006908B1">
        <w:rPr>
          <w:rFonts w:ascii="Times New Roman" w:hAnsi="Times New Roman"/>
          <w:sz w:val="24"/>
          <w:szCs w:val="24"/>
          <w:lang w:val="en-US"/>
        </w:rPr>
        <w:t xml:space="preserve"> Donaldson stated that ‘powers of proscription are emergency powers…that should be used only when absolutely necessary and should never be </w:t>
      </w:r>
      <w:r w:rsidRPr="006908B1">
        <w:rPr>
          <w:rFonts w:ascii="Times New Roman" w:hAnsi="Times New Roman"/>
          <w:sz w:val="24"/>
          <w:szCs w:val="24"/>
          <w:lang w:val="en-US"/>
        </w:rPr>
        <w:lastRenderedPageBreak/>
        <w:t xml:space="preserve">allowed to stifle the free and lawful expression of opinion’. Moreover, Donaldson commented that that ‘the value of proscription as an instrument of law is almost entirely nil. I do not think anybody at the moment is confined, either under detention or in prison, for the single reason that they belong to a proscribed </w:t>
      </w:r>
      <w:proofErr w:type="spellStart"/>
      <w:r w:rsidRPr="006908B1">
        <w:rPr>
          <w:rFonts w:ascii="Times New Roman" w:hAnsi="Times New Roman"/>
          <w:sz w:val="24"/>
          <w:szCs w:val="24"/>
          <w:lang w:val="en-US"/>
        </w:rPr>
        <w:t>organisation</w:t>
      </w:r>
      <w:proofErr w:type="spellEnd"/>
      <w:r w:rsidRPr="006908B1">
        <w:rPr>
          <w:rFonts w:ascii="Times New Roman" w:hAnsi="Times New Roman"/>
          <w:sz w:val="24"/>
          <w:szCs w:val="24"/>
          <w:lang w:val="en-US"/>
        </w:rPr>
        <w:t xml:space="preserve">’. </w:t>
      </w:r>
    </w:p>
    <w:p w:rsidR="00AD6DC0" w:rsidRPr="006908B1" w:rsidRDefault="00AD6DC0" w:rsidP="00AD6DC0">
      <w:pPr>
        <w:pStyle w:val="ListParagraph"/>
        <w:spacing w:line="360" w:lineRule="auto"/>
        <w:ind w:left="0"/>
        <w:rPr>
          <w:rFonts w:ascii="Times New Roman" w:hAnsi="Times New Roman"/>
          <w:sz w:val="24"/>
          <w:szCs w:val="24"/>
          <w:lang w:val="en-US"/>
        </w:rPr>
      </w:pPr>
    </w:p>
    <w:p w:rsidR="00AD6DC0" w:rsidRDefault="00AD6DC0" w:rsidP="00AD6DC0">
      <w:pPr>
        <w:pStyle w:val="ListParagraph"/>
        <w:spacing w:line="360" w:lineRule="auto"/>
        <w:ind w:left="0"/>
        <w:rPr>
          <w:rFonts w:ascii="Times New Roman" w:hAnsi="Times New Roman"/>
          <w:sz w:val="24"/>
          <w:szCs w:val="24"/>
          <w:lang w:val="en-US"/>
        </w:rPr>
      </w:pPr>
      <w:r w:rsidRPr="006908B1">
        <w:rPr>
          <w:rFonts w:ascii="Times New Roman" w:hAnsi="Times New Roman"/>
          <w:sz w:val="24"/>
          <w:szCs w:val="24"/>
          <w:lang w:val="en-US"/>
        </w:rPr>
        <w:t xml:space="preserve">Lord Donaldson was at pains to </w:t>
      </w:r>
      <w:proofErr w:type="spellStart"/>
      <w:r w:rsidRPr="006908B1">
        <w:rPr>
          <w:rFonts w:ascii="Times New Roman" w:hAnsi="Times New Roman"/>
          <w:sz w:val="24"/>
          <w:szCs w:val="24"/>
          <w:lang w:val="en-US"/>
        </w:rPr>
        <w:t>emphasise</w:t>
      </w:r>
      <w:proofErr w:type="spellEnd"/>
      <w:r w:rsidRPr="006908B1">
        <w:rPr>
          <w:rFonts w:ascii="Times New Roman" w:hAnsi="Times New Roman"/>
          <w:sz w:val="24"/>
          <w:szCs w:val="24"/>
          <w:lang w:val="en-US"/>
        </w:rPr>
        <w:t xml:space="preserve"> that legalization did not weaken ‘the determination of the government through the security forces to deal effectively with people engaged in violence…Nor should it be thought that this order gives members of the UVF or </w:t>
      </w:r>
      <w:r w:rsidRPr="00F63736">
        <w:rPr>
          <w:rFonts w:ascii="Times New Roman" w:hAnsi="Times New Roman"/>
          <w:i/>
          <w:sz w:val="24"/>
          <w:szCs w:val="24"/>
          <w:lang w:val="en-US"/>
        </w:rPr>
        <w:t>Sinn Fein</w:t>
      </w:r>
      <w:r w:rsidRPr="006908B1">
        <w:rPr>
          <w:rFonts w:ascii="Times New Roman" w:hAnsi="Times New Roman"/>
          <w:sz w:val="24"/>
          <w:szCs w:val="24"/>
          <w:lang w:val="en-US"/>
        </w:rPr>
        <w:t xml:space="preserve"> any kind of license to engage in violence’. So was Rees, who sought to make it clear that ‘membership of a de-proscribed organization is no protection for men of violence…no person can expect to be allowed to claim to be acting politically at one moment and then given what appears a </w:t>
      </w:r>
      <w:proofErr w:type="spellStart"/>
      <w:r w:rsidRPr="006908B1">
        <w:rPr>
          <w:rFonts w:ascii="Times New Roman" w:hAnsi="Times New Roman"/>
          <w:sz w:val="24"/>
          <w:szCs w:val="24"/>
          <w:lang w:val="en-US"/>
        </w:rPr>
        <w:t>favourable</w:t>
      </w:r>
      <w:proofErr w:type="spellEnd"/>
      <w:r w:rsidRPr="006908B1">
        <w:rPr>
          <w:rFonts w:ascii="Times New Roman" w:hAnsi="Times New Roman"/>
          <w:sz w:val="24"/>
          <w:szCs w:val="24"/>
          <w:lang w:val="en-US"/>
        </w:rPr>
        <w:t xml:space="preserve"> opportunity to turn to violence and subversion’</w:t>
      </w:r>
      <w:r>
        <w:rPr>
          <w:rFonts w:ascii="Times New Roman" w:hAnsi="Times New Roman"/>
          <w:sz w:val="24"/>
          <w:szCs w:val="24"/>
          <w:lang w:val="en-US"/>
        </w:rPr>
        <w:t>.</w:t>
      </w:r>
      <w:r>
        <w:rPr>
          <w:rStyle w:val="FootnoteReference"/>
          <w:sz w:val="24"/>
          <w:szCs w:val="24"/>
          <w:lang w:val="en-US"/>
        </w:rPr>
        <w:footnoteReference w:id="81"/>
      </w:r>
    </w:p>
    <w:p w:rsidR="00C2511F" w:rsidRPr="006908B1" w:rsidRDefault="00C2511F" w:rsidP="00AD6DC0">
      <w:pPr>
        <w:pStyle w:val="ListParagraph"/>
        <w:spacing w:line="360" w:lineRule="auto"/>
        <w:ind w:left="0"/>
        <w:rPr>
          <w:rFonts w:ascii="Times New Roman" w:hAnsi="Times New Roman"/>
          <w:sz w:val="24"/>
          <w:szCs w:val="24"/>
          <w:lang w:val="en-US"/>
        </w:rPr>
      </w:pPr>
    </w:p>
    <w:p w:rsidR="00AB7AE8" w:rsidRDefault="00AB7AE8" w:rsidP="00C2511F">
      <w:pPr>
        <w:spacing w:line="360" w:lineRule="auto"/>
        <w:rPr>
          <w:rFonts w:ascii="Times New Roman" w:hAnsi="Times New Roman"/>
          <w:b/>
          <w:i/>
          <w:sz w:val="24"/>
          <w:szCs w:val="24"/>
          <w:lang w:val="en-US"/>
        </w:rPr>
      </w:pPr>
      <w:r>
        <w:rPr>
          <w:rFonts w:ascii="Times New Roman" w:hAnsi="Times New Roman"/>
          <w:b/>
          <w:i/>
          <w:sz w:val="24"/>
          <w:szCs w:val="24"/>
          <w:lang w:val="en-US"/>
        </w:rPr>
        <w:t xml:space="preserve">Veto players and legalization of </w:t>
      </w:r>
      <w:proofErr w:type="spellStart"/>
      <w:r>
        <w:rPr>
          <w:rFonts w:ascii="Times New Roman" w:hAnsi="Times New Roman"/>
          <w:b/>
          <w:i/>
          <w:sz w:val="24"/>
          <w:szCs w:val="24"/>
          <w:lang w:val="en-US"/>
        </w:rPr>
        <w:t>Herri</w:t>
      </w:r>
      <w:proofErr w:type="spellEnd"/>
      <w:r>
        <w:rPr>
          <w:rFonts w:ascii="Times New Roman" w:hAnsi="Times New Roman"/>
          <w:b/>
          <w:i/>
          <w:sz w:val="24"/>
          <w:szCs w:val="24"/>
          <w:lang w:val="en-US"/>
        </w:rPr>
        <w:t xml:space="preserve"> </w:t>
      </w:r>
      <w:proofErr w:type="spellStart"/>
      <w:r>
        <w:rPr>
          <w:rFonts w:ascii="Times New Roman" w:hAnsi="Times New Roman"/>
          <w:b/>
          <w:i/>
          <w:sz w:val="24"/>
          <w:szCs w:val="24"/>
          <w:lang w:val="en-US"/>
        </w:rPr>
        <w:t>Batasuna</w:t>
      </w:r>
      <w:proofErr w:type="spellEnd"/>
      <w:r>
        <w:rPr>
          <w:rFonts w:ascii="Times New Roman" w:hAnsi="Times New Roman"/>
          <w:b/>
          <w:i/>
          <w:sz w:val="24"/>
          <w:szCs w:val="24"/>
          <w:lang w:val="en-US"/>
        </w:rPr>
        <w:t xml:space="preserve"> </w:t>
      </w:r>
    </w:p>
    <w:p w:rsidR="00C2511F" w:rsidRDefault="00C2511F" w:rsidP="00C2511F">
      <w:pPr>
        <w:spacing w:line="360" w:lineRule="auto"/>
        <w:rPr>
          <w:rFonts w:ascii="Times New Roman" w:hAnsi="Times New Roman"/>
          <w:sz w:val="24"/>
          <w:szCs w:val="24"/>
          <w:lang w:val="en-US"/>
        </w:rPr>
      </w:pPr>
      <w:r w:rsidRPr="00AA5CAD">
        <w:rPr>
          <w:rFonts w:ascii="Times New Roman" w:hAnsi="Times New Roman"/>
          <w:sz w:val="24"/>
          <w:szCs w:val="24"/>
          <w:lang w:val="en-US"/>
        </w:rPr>
        <w:t xml:space="preserve">When the dictator Francisco Franco died in 1975, reformers from with the regime and leaders of the </w:t>
      </w:r>
      <w:proofErr w:type="spellStart"/>
      <w:r w:rsidRPr="00AA5CAD">
        <w:rPr>
          <w:rFonts w:ascii="Times New Roman" w:hAnsi="Times New Roman"/>
          <w:sz w:val="24"/>
          <w:szCs w:val="24"/>
          <w:lang w:val="en-US"/>
        </w:rPr>
        <w:t>Francoist</w:t>
      </w:r>
      <w:proofErr w:type="spellEnd"/>
      <w:r w:rsidRPr="00AA5CAD">
        <w:rPr>
          <w:rFonts w:ascii="Times New Roman" w:hAnsi="Times New Roman"/>
          <w:sz w:val="24"/>
          <w:szCs w:val="24"/>
          <w:lang w:val="en-US"/>
        </w:rPr>
        <w:t xml:space="preserve"> opposition</w:t>
      </w:r>
      <w:r>
        <w:rPr>
          <w:rFonts w:ascii="Times New Roman" w:hAnsi="Times New Roman"/>
          <w:sz w:val="24"/>
          <w:szCs w:val="24"/>
          <w:lang w:val="en-US"/>
        </w:rPr>
        <w:t xml:space="preserve"> led negotiators to establish a democratic system of rule in Spain. The issue of proscription arose during debates on a new constitution and the new party Law 54/1978. However, in a context in which multiparty politics was still a novelty, parliamentarians were reluctant to endorse measures which they thought might threaten their new rights of association, such as the adoption of a German style militant democracy.</w:t>
      </w:r>
      <w:r>
        <w:rPr>
          <w:rStyle w:val="FootnoteReference"/>
          <w:sz w:val="24"/>
          <w:szCs w:val="24"/>
          <w:lang w:val="en-US"/>
        </w:rPr>
        <w:footnoteReference w:id="82"/>
      </w:r>
      <w:r>
        <w:rPr>
          <w:rFonts w:ascii="Times New Roman" w:hAnsi="Times New Roman"/>
          <w:sz w:val="24"/>
          <w:szCs w:val="24"/>
          <w:lang w:val="en-US"/>
        </w:rPr>
        <w:t xml:space="preserve"> In the debate on the new party law all parliamentarians emphasized the importance of liberties of association, limiting state intervention in the creation of parties and the need to limit the grounds for dissolution of parties.</w:t>
      </w:r>
      <w:r>
        <w:rPr>
          <w:rStyle w:val="FootnoteReference"/>
          <w:sz w:val="24"/>
          <w:szCs w:val="24"/>
          <w:lang w:val="en-US"/>
        </w:rPr>
        <w:footnoteReference w:id="83"/>
      </w:r>
      <w:r>
        <w:rPr>
          <w:rFonts w:ascii="Times New Roman" w:hAnsi="Times New Roman"/>
          <w:sz w:val="24"/>
          <w:szCs w:val="24"/>
          <w:lang w:val="en-US"/>
        </w:rPr>
        <w:t xml:space="preserve"> However, these debates did not take cognizance of the political parties emerging from radical Basque nationalist circles associated with ETA.</w:t>
      </w:r>
    </w:p>
    <w:p w:rsidR="00C2511F" w:rsidRPr="00BB1E85" w:rsidRDefault="00C2511F" w:rsidP="00C2511F">
      <w:pPr>
        <w:spacing w:line="360" w:lineRule="auto"/>
        <w:rPr>
          <w:rFonts w:ascii="Times New Roman" w:hAnsi="Times New Roman"/>
          <w:sz w:val="24"/>
          <w:szCs w:val="24"/>
          <w:lang w:val="en-US"/>
        </w:rPr>
      </w:pPr>
      <w:r>
        <w:rPr>
          <w:rFonts w:ascii="Times New Roman" w:hAnsi="Times New Roman"/>
          <w:sz w:val="24"/>
          <w:szCs w:val="24"/>
          <w:lang w:val="en-US"/>
        </w:rPr>
        <w:t xml:space="preserve">By the early 1980s, the issue of banning </w:t>
      </w:r>
      <w:proofErr w:type="spellStart"/>
      <w:r w:rsidRPr="00C2511F">
        <w:rPr>
          <w:rFonts w:ascii="Times New Roman" w:hAnsi="Times New Roman"/>
          <w:i/>
          <w:sz w:val="24"/>
          <w:szCs w:val="24"/>
          <w:lang w:val="en-US"/>
        </w:rPr>
        <w:t>Herri</w:t>
      </w:r>
      <w:proofErr w:type="spellEnd"/>
      <w:r w:rsidRPr="00C2511F">
        <w:rPr>
          <w:rFonts w:ascii="Times New Roman" w:hAnsi="Times New Roman"/>
          <w:i/>
          <w:sz w:val="24"/>
          <w:szCs w:val="24"/>
          <w:lang w:val="en-US"/>
        </w:rPr>
        <w:t xml:space="preserve"> </w:t>
      </w:r>
      <w:proofErr w:type="spellStart"/>
      <w:r w:rsidRPr="00C2511F">
        <w:rPr>
          <w:rFonts w:ascii="Times New Roman" w:hAnsi="Times New Roman"/>
          <w:i/>
          <w:sz w:val="24"/>
          <w:szCs w:val="24"/>
          <w:lang w:val="en-US"/>
        </w:rPr>
        <w:t>Batasuna</w:t>
      </w:r>
      <w:proofErr w:type="spellEnd"/>
      <w:r>
        <w:rPr>
          <w:rFonts w:ascii="Times New Roman" w:hAnsi="Times New Roman"/>
          <w:sz w:val="24"/>
          <w:szCs w:val="24"/>
          <w:lang w:val="en-US"/>
        </w:rPr>
        <w:t xml:space="preserve"> was on the political agenda. The PSOE government sought unsuccessfully to deny it formal registration as a political party and the opposition </w:t>
      </w:r>
      <w:proofErr w:type="spellStart"/>
      <w:r w:rsidRPr="007902C8">
        <w:rPr>
          <w:rFonts w:ascii="Times New Roman" w:hAnsi="Times New Roman"/>
          <w:i/>
          <w:sz w:val="24"/>
          <w:szCs w:val="24"/>
          <w:lang w:val="en-US"/>
        </w:rPr>
        <w:t>Coalición</w:t>
      </w:r>
      <w:proofErr w:type="spellEnd"/>
      <w:r w:rsidRPr="007902C8">
        <w:rPr>
          <w:rFonts w:ascii="Times New Roman" w:hAnsi="Times New Roman"/>
          <w:i/>
          <w:sz w:val="24"/>
          <w:szCs w:val="24"/>
          <w:lang w:val="en-US"/>
        </w:rPr>
        <w:t xml:space="preserve"> Popular</w:t>
      </w:r>
      <w:r>
        <w:rPr>
          <w:rFonts w:ascii="Times New Roman" w:hAnsi="Times New Roman"/>
          <w:sz w:val="24"/>
          <w:szCs w:val="24"/>
          <w:lang w:val="en-US"/>
        </w:rPr>
        <w:t xml:space="preserve"> (</w:t>
      </w:r>
      <w:r w:rsidRPr="00C2511F">
        <w:rPr>
          <w:rFonts w:ascii="Times New Roman" w:hAnsi="Times New Roman"/>
          <w:i/>
          <w:sz w:val="24"/>
          <w:szCs w:val="24"/>
          <w:lang w:val="en-US"/>
        </w:rPr>
        <w:t>Popular Coalition</w:t>
      </w:r>
      <w:r>
        <w:rPr>
          <w:rFonts w:ascii="Times New Roman" w:hAnsi="Times New Roman"/>
          <w:sz w:val="24"/>
          <w:szCs w:val="24"/>
          <w:lang w:val="en-US"/>
        </w:rPr>
        <w:t xml:space="preserve">, CP, </w:t>
      </w:r>
      <w:proofErr w:type="spellStart"/>
      <w:r>
        <w:rPr>
          <w:rFonts w:ascii="Times New Roman" w:hAnsi="Times New Roman"/>
          <w:sz w:val="24"/>
          <w:szCs w:val="24"/>
          <w:lang w:val="en-US"/>
        </w:rPr>
        <w:t>predessor</w:t>
      </w:r>
      <w:proofErr w:type="spellEnd"/>
      <w:r>
        <w:rPr>
          <w:rFonts w:ascii="Times New Roman" w:hAnsi="Times New Roman"/>
          <w:sz w:val="24"/>
          <w:szCs w:val="24"/>
          <w:lang w:val="en-US"/>
        </w:rPr>
        <w:t xml:space="preserve"> of PP), sought to keep the issue on the political agenda by piloting an unsuccessful motion through parliament pressuring the </w:t>
      </w:r>
      <w:r>
        <w:rPr>
          <w:rFonts w:ascii="Times New Roman" w:hAnsi="Times New Roman"/>
          <w:sz w:val="24"/>
          <w:szCs w:val="24"/>
          <w:lang w:val="en-US"/>
        </w:rPr>
        <w:lastRenderedPageBreak/>
        <w:t>government to keep pursuing proscription of HB.</w:t>
      </w:r>
      <w:r>
        <w:rPr>
          <w:rStyle w:val="FootnoteReference"/>
          <w:sz w:val="24"/>
          <w:szCs w:val="24"/>
          <w:lang w:val="en-US"/>
        </w:rPr>
        <w:footnoteReference w:id="84"/>
      </w:r>
      <w:r>
        <w:rPr>
          <w:rFonts w:ascii="Times New Roman" w:hAnsi="Times New Roman"/>
          <w:sz w:val="24"/>
          <w:szCs w:val="24"/>
          <w:lang w:val="en-US"/>
        </w:rPr>
        <w:t xml:space="preserve"> The arguments employed were similar to those employed in later in debates on the 2002 party law, which emphasized the role of the party in the conduct of violence against the state, that the political wing of the terrorist group was a threat to democracy, that there should be no distinctions between political and military components of terrorist </w:t>
      </w:r>
      <w:proofErr w:type="spellStart"/>
      <w:r>
        <w:rPr>
          <w:rFonts w:ascii="Times New Roman" w:hAnsi="Times New Roman"/>
          <w:sz w:val="24"/>
          <w:szCs w:val="24"/>
          <w:lang w:val="en-US"/>
        </w:rPr>
        <w:t>organisations</w:t>
      </w:r>
      <w:proofErr w:type="spellEnd"/>
      <w:r>
        <w:rPr>
          <w:rFonts w:ascii="Times New Roman" w:hAnsi="Times New Roman"/>
          <w:sz w:val="24"/>
          <w:szCs w:val="24"/>
          <w:lang w:val="en-US"/>
        </w:rPr>
        <w:t xml:space="preserve">, and that </w:t>
      </w:r>
      <w:proofErr w:type="spellStart"/>
      <w:r>
        <w:rPr>
          <w:rFonts w:ascii="Times New Roman" w:hAnsi="Times New Roman"/>
          <w:sz w:val="24"/>
          <w:szCs w:val="24"/>
          <w:lang w:val="en-US"/>
        </w:rPr>
        <w:t>Herri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Batasuna</w:t>
      </w:r>
      <w:proofErr w:type="spellEnd"/>
      <w:r>
        <w:rPr>
          <w:rFonts w:ascii="Times New Roman" w:hAnsi="Times New Roman"/>
          <w:sz w:val="24"/>
          <w:szCs w:val="24"/>
          <w:lang w:val="en-US"/>
        </w:rPr>
        <w:t xml:space="preserve"> was not a ‘normal’ party.</w:t>
      </w:r>
    </w:p>
    <w:p w:rsidR="00C2511F" w:rsidRPr="00BB1E85" w:rsidRDefault="00C2511F" w:rsidP="00C2511F">
      <w:pPr>
        <w:spacing w:line="360" w:lineRule="auto"/>
        <w:rPr>
          <w:rFonts w:ascii="Times New Roman" w:hAnsi="Times New Roman"/>
          <w:sz w:val="24"/>
          <w:szCs w:val="24"/>
        </w:rPr>
      </w:pPr>
      <w:r>
        <w:rPr>
          <w:rFonts w:ascii="Times New Roman" w:hAnsi="Times New Roman"/>
          <w:sz w:val="24"/>
          <w:szCs w:val="24"/>
        </w:rPr>
        <w:t xml:space="preserve">The </w:t>
      </w:r>
      <w:proofErr w:type="spellStart"/>
      <w:r w:rsidRPr="00BB1E85">
        <w:rPr>
          <w:rFonts w:ascii="Times New Roman" w:hAnsi="Times New Roman"/>
          <w:i/>
          <w:sz w:val="24"/>
          <w:szCs w:val="24"/>
        </w:rPr>
        <w:t>Coalición</w:t>
      </w:r>
      <w:proofErr w:type="spellEnd"/>
      <w:r w:rsidRPr="00BB1E85">
        <w:rPr>
          <w:rFonts w:ascii="Times New Roman" w:hAnsi="Times New Roman"/>
          <w:i/>
          <w:sz w:val="24"/>
          <w:szCs w:val="24"/>
        </w:rPr>
        <w:t xml:space="preserve"> Popular</w:t>
      </w:r>
      <w:r>
        <w:rPr>
          <w:rFonts w:ascii="Times New Roman" w:hAnsi="Times New Roman"/>
          <w:sz w:val="24"/>
          <w:szCs w:val="24"/>
        </w:rPr>
        <w:t xml:space="preserve"> </w:t>
      </w:r>
      <w:r w:rsidRPr="00BB1E85">
        <w:rPr>
          <w:rFonts w:ascii="Times New Roman" w:hAnsi="Times New Roman"/>
          <w:sz w:val="24"/>
          <w:szCs w:val="24"/>
        </w:rPr>
        <w:t>ha</w:t>
      </w:r>
      <w:r>
        <w:rPr>
          <w:rFonts w:ascii="Times New Roman" w:hAnsi="Times New Roman"/>
          <w:sz w:val="24"/>
          <w:szCs w:val="24"/>
        </w:rPr>
        <w:t>d</w:t>
      </w:r>
      <w:r w:rsidRPr="00BB1E85">
        <w:rPr>
          <w:rFonts w:ascii="Times New Roman" w:hAnsi="Times New Roman"/>
          <w:sz w:val="24"/>
          <w:szCs w:val="24"/>
        </w:rPr>
        <w:t xml:space="preserve"> </w:t>
      </w:r>
      <w:r>
        <w:rPr>
          <w:rFonts w:ascii="Times New Roman" w:hAnsi="Times New Roman"/>
          <w:sz w:val="24"/>
          <w:szCs w:val="24"/>
        </w:rPr>
        <w:t xml:space="preserve">repeatedly sought to establish that: </w:t>
      </w:r>
      <w:r w:rsidRPr="00BB1E85">
        <w:rPr>
          <w:rFonts w:ascii="Times New Roman" w:hAnsi="Times New Roman"/>
          <w:sz w:val="24"/>
          <w:szCs w:val="24"/>
        </w:rPr>
        <w:t>‘</w:t>
      </w:r>
      <w:proofErr w:type="spellStart"/>
      <w:r w:rsidRPr="00C2511F">
        <w:rPr>
          <w:rFonts w:ascii="Times New Roman" w:hAnsi="Times New Roman"/>
          <w:i/>
          <w:sz w:val="24"/>
          <w:szCs w:val="24"/>
        </w:rPr>
        <w:t>Herri</w:t>
      </w:r>
      <w:proofErr w:type="spellEnd"/>
      <w:r w:rsidRPr="00C2511F">
        <w:rPr>
          <w:rFonts w:ascii="Times New Roman" w:hAnsi="Times New Roman"/>
          <w:i/>
          <w:sz w:val="24"/>
          <w:szCs w:val="24"/>
        </w:rPr>
        <w:t xml:space="preserve"> </w:t>
      </w:r>
      <w:proofErr w:type="spellStart"/>
      <w:r w:rsidRPr="00C2511F">
        <w:rPr>
          <w:rFonts w:ascii="Times New Roman" w:hAnsi="Times New Roman"/>
          <w:i/>
          <w:sz w:val="24"/>
          <w:szCs w:val="24"/>
        </w:rPr>
        <w:t>Batasuna</w:t>
      </w:r>
      <w:proofErr w:type="spellEnd"/>
      <w:r w:rsidRPr="00BB1E85">
        <w:rPr>
          <w:rFonts w:ascii="Times New Roman" w:hAnsi="Times New Roman"/>
          <w:sz w:val="24"/>
          <w:szCs w:val="24"/>
        </w:rPr>
        <w:t xml:space="preserve"> is ETA or ETA is </w:t>
      </w:r>
      <w:proofErr w:type="spellStart"/>
      <w:r w:rsidRPr="00C2511F">
        <w:rPr>
          <w:rFonts w:ascii="Times New Roman" w:hAnsi="Times New Roman"/>
          <w:i/>
          <w:sz w:val="24"/>
          <w:szCs w:val="24"/>
        </w:rPr>
        <w:t>Herri</w:t>
      </w:r>
      <w:proofErr w:type="spellEnd"/>
      <w:r w:rsidRPr="00C2511F">
        <w:rPr>
          <w:rFonts w:ascii="Times New Roman" w:hAnsi="Times New Roman"/>
          <w:i/>
          <w:sz w:val="24"/>
          <w:szCs w:val="24"/>
        </w:rPr>
        <w:t xml:space="preserve"> </w:t>
      </w:r>
      <w:proofErr w:type="spellStart"/>
      <w:r w:rsidRPr="00C2511F">
        <w:rPr>
          <w:rFonts w:ascii="Times New Roman" w:hAnsi="Times New Roman"/>
          <w:i/>
          <w:sz w:val="24"/>
          <w:szCs w:val="24"/>
        </w:rPr>
        <w:t>Batasuna</w:t>
      </w:r>
      <w:proofErr w:type="spellEnd"/>
      <w:r w:rsidRPr="00C2511F">
        <w:rPr>
          <w:rFonts w:ascii="Times New Roman" w:hAnsi="Times New Roman"/>
          <w:i/>
          <w:sz w:val="24"/>
          <w:szCs w:val="24"/>
        </w:rPr>
        <w:t>’</w:t>
      </w:r>
      <w:r w:rsidRPr="00BB1E85">
        <w:rPr>
          <w:rFonts w:ascii="Times New Roman" w:hAnsi="Times New Roman"/>
          <w:sz w:val="24"/>
          <w:szCs w:val="24"/>
        </w:rPr>
        <w:t>.</w:t>
      </w:r>
      <w:r>
        <w:rPr>
          <w:rStyle w:val="FootnoteReference"/>
          <w:sz w:val="24"/>
          <w:szCs w:val="24"/>
        </w:rPr>
        <w:footnoteReference w:id="85"/>
      </w:r>
      <w:r w:rsidRPr="00BB1E85">
        <w:rPr>
          <w:rFonts w:ascii="Times New Roman" w:hAnsi="Times New Roman"/>
          <w:sz w:val="24"/>
          <w:szCs w:val="24"/>
        </w:rPr>
        <w:t xml:space="preserve"> It deduced the interrelation of HB with the terrorist group ETA on the following grounds: ‘The organisation of acts of support</w:t>
      </w:r>
      <w:r>
        <w:rPr>
          <w:rFonts w:ascii="Times New Roman" w:hAnsi="Times New Roman"/>
          <w:sz w:val="24"/>
          <w:szCs w:val="24"/>
        </w:rPr>
        <w:t>,</w:t>
      </w:r>
      <w:r w:rsidRPr="00BB1E85">
        <w:rPr>
          <w:rFonts w:ascii="Times New Roman" w:hAnsi="Times New Roman"/>
          <w:sz w:val="24"/>
          <w:szCs w:val="24"/>
        </w:rPr>
        <w:t xml:space="preserve"> interpenetration of personnel between </w:t>
      </w:r>
      <w:proofErr w:type="spellStart"/>
      <w:r w:rsidRPr="00BB1E85">
        <w:rPr>
          <w:rFonts w:ascii="Times New Roman" w:hAnsi="Times New Roman"/>
          <w:i/>
          <w:sz w:val="24"/>
          <w:szCs w:val="24"/>
        </w:rPr>
        <w:t>Herri</w:t>
      </w:r>
      <w:proofErr w:type="spellEnd"/>
      <w:r w:rsidRPr="00BB1E85">
        <w:rPr>
          <w:rFonts w:ascii="Times New Roman" w:hAnsi="Times New Roman"/>
          <w:i/>
          <w:sz w:val="24"/>
          <w:szCs w:val="24"/>
        </w:rPr>
        <w:t xml:space="preserve"> </w:t>
      </w:r>
      <w:proofErr w:type="spellStart"/>
      <w:r w:rsidRPr="00BB1E85">
        <w:rPr>
          <w:rFonts w:ascii="Times New Roman" w:hAnsi="Times New Roman"/>
          <w:i/>
          <w:sz w:val="24"/>
          <w:szCs w:val="24"/>
        </w:rPr>
        <w:t>Batasuna</w:t>
      </w:r>
      <w:proofErr w:type="spellEnd"/>
      <w:r w:rsidRPr="00BB1E85">
        <w:rPr>
          <w:rFonts w:ascii="Times New Roman" w:hAnsi="Times New Roman"/>
          <w:sz w:val="24"/>
          <w:szCs w:val="24"/>
        </w:rPr>
        <w:t xml:space="preserve"> and ETA, the demonstrated financial relation between both organisations and finally, the public declarations of members of </w:t>
      </w:r>
      <w:proofErr w:type="spellStart"/>
      <w:r w:rsidRPr="00BB1E85">
        <w:rPr>
          <w:rFonts w:ascii="Times New Roman" w:hAnsi="Times New Roman"/>
          <w:i/>
          <w:sz w:val="24"/>
          <w:szCs w:val="24"/>
        </w:rPr>
        <w:t>Herri</w:t>
      </w:r>
      <w:proofErr w:type="spellEnd"/>
      <w:r w:rsidRPr="00BB1E85">
        <w:rPr>
          <w:rFonts w:ascii="Times New Roman" w:hAnsi="Times New Roman"/>
          <w:i/>
          <w:sz w:val="24"/>
          <w:szCs w:val="24"/>
        </w:rPr>
        <w:t xml:space="preserve"> </w:t>
      </w:r>
      <w:proofErr w:type="spellStart"/>
      <w:r w:rsidRPr="00BB1E85">
        <w:rPr>
          <w:rFonts w:ascii="Times New Roman" w:hAnsi="Times New Roman"/>
          <w:i/>
          <w:sz w:val="24"/>
          <w:szCs w:val="24"/>
        </w:rPr>
        <w:t>Batasuna</w:t>
      </w:r>
      <w:proofErr w:type="spellEnd"/>
      <w:r w:rsidRPr="00BB1E85">
        <w:rPr>
          <w:rFonts w:ascii="Times New Roman" w:hAnsi="Times New Roman"/>
          <w:sz w:val="24"/>
          <w:szCs w:val="24"/>
        </w:rPr>
        <w:t>’</w:t>
      </w:r>
      <w:r>
        <w:rPr>
          <w:rFonts w:ascii="Times New Roman" w:hAnsi="Times New Roman"/>
          <w:sz w:val="24"/>
          <w:szCs w:val="24"/>
        </w:rPr>
        <w:t>.</w:t>
      </w:r>
      <w:r>
        <w:rPr>
          <w:rStyle w:val="FootnoteReference"/>
          <w:sz w:val="24"/>
          <w:szCs w:val="24"/>
        </w:rPr>
        <w:footnoteReference w:id="86"/>
      </w:r>
      <w:r w:rsidRPr="00BB1E85">
        <w:rPr>
          <w:rFonts w:ascii="Times New Roman" w:hAnsi="Times New Roman"/>
          <w:sz w:val="24"/>
          <w:szCs w:val="24"/>
        </w:rPr>
        <w:t xml:space="preserve"> </w:t>
      </w:r>
      <w:r>
        <w:rPr>
          <w:rFonts w:ascii="Times New Roman" w:hAnsi="Times New Roman"/>
          <w:sz w:val="24"/>
          <w:szCs w:val="24"/>
        </w:rPr>
        <w:t xml:space="preserve">The importance of proscription was highlighted by </w:t>
      </w:r>
      <w:r w:rsidRPr="00BB1E85">
        <w:rPr>
          <w:rFonts w:ascii="Times New Roman" w:hAnsi="Times New Roman"/>
          <w:sz w:val="24"/>
          <w:szCs w:val="24"/>
        </w:rPr>
        <w:t xml:space="preserve">CP Spokesperson, Medrano y </w:t>
      </w:r>
      <w:proofErr w:type="spellStart"/>
      <w:r w:rsidRPr="00BB1E85">
        <w:rPr>
          <w:rFonts w:ascii="Times New Roman" w:hAnsi="Times New Roman"/>
          <w:sz w:val="24"/>
          <w:szCs w:val="24"/>
        </w:rPr>
        <w:t>Blasco</w:t>
      </w:r>
      <w:proofErr w:type="spellEnd"/>
      <w:r>
        <w:rPr>
          <w:rFonts w:ascii="Times New Roman" w:hAnsi="Times New Roman"/>
          <w:sz w:val="24"/>
          <w:szCs w:val="24"/>
        </w:rPr>
        <w:t xml:space="preserve">, who </w:t>
      </w:r>
      <w:r w:rsidRPr="00BB1E85">
        <w:rPr>
          <w:rFonts w:ascii="Times New Roman" w:hAnsi="Times New Roman"/>
          <w:sz w:val="24"/>
          <w:szCs w:val="24"/>
        </w:rPr>
        <w:t xml:space="preserve">told parliament his party wanted to </w:t>
      </w:r>
      <w:r>
        <w:rPr>
          <w:rFonts w:ascii="Times New Roman" w:hAnsi="Times New Roman"/>
          <w:sz w:val="24"/>
          <w:szCs w:val="24"/>
        </w:rPr>
        <w:t xml:space="preserve">proscribe </w:t>
      </w:r>
      <w:proofErr w:type="spellStart"/>
      <w:r w:rsidRPr="00C2511F">
        <w:rPr>
          <w:rFonts w:ascii="Times New Roman" w:hAnsi="Times New Roman"/>
          <w:i/>
          <w:sz w:val="24"/>
          <w:szCs w:val="24"/>
        </w:rPr>
        <w:t>Herri</w:t>
      </w:r>
      <w:proofErr w:type="spellEnd"/>
      <w:r w:rsidRPr="00C2511F">
        <w:rPr>
          <w:rFonts w:ascii="Times New Roman" w:hAnsi="Times New Roman"/>
          <w:i/>
          <w:sz w:val="24"/>
          <w:szCs w:val="24"/>
        </w:rPr>
        <w:t xml:space="preserve"> </w:t>
      </w:r>
      <w:proofErr w:type="spellStart"/>
      <w:r w:rsidRPr="00C2511F">
        <w:rPr>
          <w:rFonts w:ascii="Times New Roman" w:hAnsi="Times New Roman"/>
          <w:i/>
          <w:sz w:val="24"/>
          <w:szCs w:val="24"/>
        </w:rPr>
        <w:t>Batasuna</w:t>
      </w:r>
      <w:proofErr w:type="spellEnd"/>
      <w:r>
        <w:rPr>
          <w:rFonts w:ascii="Times New Roman" w:hAnsi="Times New Roman"/>
          <w:sz w:val="24"/>
          <w:szCs w:val="24"/>
        </w:rPr>
        <w:t xml:space="preserve"> in application of the law </w:t>
      </w:r>
      <w:r w:rsidRPr="00BB1E85">
        <w:rPr>
          <w:rFonts w:ascii="Times New Roman" w:hAnsi="Times New Roman"/>
          <w:sz w:val="24"/>
          <w:szCs w:val="24"/>
        </w:rPr>
        <w:t>because</w:t>
      </w:r>
      <w:r>
        <w:rPr>
          <w:rFonts w:ascii="Times New Roman" w:hAnsi="Times New Roman"/>
          <w:sz w:val="24"/>
          <w:szCs w:val="24"/>
        </w:rPr>
        <w:t>, he argued,</w:t>
      </w:r>
      <w:r w:rsidRPr="00BB1E85">
        <w:rPr>
          <w:rFonts w:ascii="Times New Roman" w:hAnsi="Times New Roman"/>
          <w:sz w:val="24"/>
          <w:szCs w:val="24"/>
        </w:rPr>
        <w:t xml:space="preserve"> ‘in complying with the law we eliminate terrorism’</w:t>
      </w:r>
      <w:r>
        <w:rPr>
          <w:rFonts w:ascii="Times New Roman" w:hAnsi="Times New Roman"/>
          <w:sz w:val="24"/>
          <w:szCs w:val="24"/>
        </w:rPr>
        <w:t>.</w:t>
      </w:r>
      <w:r>
        <w:rPr>
          <w:rStyle w:val="FootnoteReference"/>
          <w:sz w:val="24"/>
          <w:szCs w:val="24"/>
        </w:rPr>
        <w:footnoteReference w:id="87"/>
      </w:r>
      <w:r w:rsidRPr="00BB1E85">
        <w:rPr>
          <w:rFonts w:ascii="Times New Roman" w:hAnsi="Times New Roman"/>
          <w:sz w:val="24"/>
          <w:szCs w:val="24"/>
        </w:rPr>
        <w:t xml:space="preserve"> </w:t>
      </w:r>
    </w:p>
    <w:p w:rsidR="00C2511F" w:rsidRDefault="00C2511F" w:rsidP="00C2511F">
      <w:pPr>
        <w:spacing w:line="360" w:lineRule="auto"/>
        <w:rPr>
          <w:rFonts w:ascii="Times New Roman" w:hAnsi="Times New Roman"/>
          <w:sz w:val="24"/>
          <w:szCs w:val="24"/>
        </w:rPr>
      </w:pPr>
      <w:r>
        <w:rPr>
          <w:rFonts w:ascii="Times New Roman" w:hAnsi="Times New Roman"/>
          <w:sz w:val="24"/>
          <w:szCs w:val="24"/>
        </w:rPr>
        <w:t xml:space="preserve">The </w:t>
      </w:r>
      <w:proofErr w:type="spellStart"/>
      <w:r>
        <w:rPr>
          <w:rFonts w:ascii="Times New Roman" w:hAnsi="Times New Roman"/>
          <w:sz w:val="24"/>
          <w:szCs w:val="24"/>
        </w:rPr>
        <w:t>Coalción</w:t>
      </w:r>
      <w:proofErr w:type="spellEnd"/>
      <w:r>
        <w:rPr>
          <w:rFonts w:ascii="Times New Roman" w:hAnsi="Times New Roman"/>
          <w:sz w:val="24"/>
          <w:szCs w:val="24"/>
        </w:rPr>
        <w:t xml:space="preserve"> Popular </w:t>
      </w:r>
      <w:r w:rsidRPr="00BB1E85">
        <w:rPr>
          <w:rFonts w:ascii="Times New Roman" w:hAnsi="Times New Roman"/>
          <w:sz w:val="24"/>
          <w:szCs w:val="24"/>
        </w:rPr>
        <w:t>argue</w:t>
      </w:r>
      <w:r>
        <w:rPr>
          <w:rFonts w:ascii="Times New Roman" w:hAnsi="Times New Roman"/>
          <w:sz w:val="24"/>
          <w:szCs w:val="24"/>
        </w:rPr>
        <w:t>d</w:t>
      </w:r>
      <w:r w:rsidRPr="00BB1E85">
        <w:rPr>
          <w:rFonts w:ascii="Times New Roman" w:hAnsi="Times New Roman"/>
          <w:sz w:val="24"/>
          <w:szCs w:val="24"/>
        </w:rPr>
        <w:t xml:space="preserve"> that</w:t>
      </w:r>
      <w:r>
        <w:rPr>
          <w:rFonts w:ascii="Times New Roman" w:hAnsi="Times New Roman"/>
          <w:sz w:val="24"/>
          <w:szCs w:val="24"/>
        </w:rPr>
        <w:t xml:space="preserve"> </w:t>
      </w:r>
      <w:proofErr w:type="spellStart"/>
      <w:r w:rsidRPr="00BB1E85">
        <w:rPr>
          <w:rFonts w:ascii="Times New Roman" w:hAnsi="Times New Roman"/>
          <w:i/>
          <w:sz w:val="24"/>
          <w:szCs w:val="24"/>
        </w:rPr>
        <w:t>Herri</w:t>
      </w:r>
      <w:proofErr w:type="spellEnd"/>
      <w:r w:rsidRPr="00BB1E85">
        <w:rPr>
          <w:rFonts w:ascii="Times New Roman" w:hAnsi="Times New Roman"/>
          <w:i/>
          <w:sz w:val="24"/>
          <w:szCs w:val="24"/>
        </w:rPr>
        <w:t xml:space="preserve"> </w:t>
      </w:r>
      <w:proofErr w:type="spellStart"/>
      <w:r w:rsidRPr="00BB1E85">
        <w:rPr>
          <w:rFonts w:ascii="Times New Roman" w:hAnsi="Times New Roman"/>
          <w:i/>
          <w:sz w:val="24"/>
          <w:szCs w:val="24"/>
        </w:rPr>
        <w:t>Batasuna</w:t>
      </w:r>
      <w:proofErr w:type="spellEnd"/>
      <w:r>
        <w:rPr>
          <w:rFonts w:ascii="Times New Roman" w:hAnsi="Times New Roman"/>
          <w:sz w:val="24"/>
          <w:szCs w:val="24"/>
        </w:rPr>
        <w:t xml:space="preserve"> </w:t>
      </w:r>
      <w:r w:rsidRPr="00BB1E85">
        <w:rPr>
          <w:rFonts w:ascii="Times New Roman" w:hAnsi="Times New Roman"/>
          <w:sz w:val="24"/>
          <w:szCs w:val="24"/>
        </w:rPr>
        <w:t xml:space="preserve">was ‘defrauding the constitution and democratic order’ by using </w:t>
      </w:r>
      <w:r>
        <w:rPr>
          <w:rFonts w:ascii="Times New Roman" w:hAnsi="Times New Roman"/>
          <w:sz w:val="24"/>
          <w:szCs w:val="24"/>
        </w:rPr>
        <w:t xml:space="preserve">them </w:t>
      </w:r>
      <w:r w:rsidRPr="00BB1E85">
        <w:rPr>
          <w:rFonts w:ascii="Times New Roman" w:hAnsi="Times New Roman"/>
          <w:sz w:val="24"/>
          <w:szCs w:val="24"/>
        </w:rPr>
        <w:t>‘for their protection and benefit, despite its repeated acts of disloyalty to them</w:t>
      </w:r>
      <w:r>
        <w:rPr>
          <w:rFonts w:ascii="Times New Roman" w:hAnsi="Times New Roman"/>
          <w:sz w:val="24"/>
          <w:szCs w:val="24"/>
        </w:rPr>
        <w:t>’</w:t>
      </w:r>
      <w:r w:rsidRPr="00BB1E85">
        <w:rPr>
          <w:rFonts w:ascii="Times New Roman" w:hAnsi="Times New Roman"/>
          <w:sz w:val="24"/>
          <w:szCs w:val="24"/>
        </w:rPr>
        <w:t xml:space="preserve">, including </w:t>
      </w:r>
      <w:r>
        <w:rPr>
          <w:rFonts w:ascii="Times New Roman" w:hAnsi="Times New Roman"/>
          <w:sz w:val="24"/>
          <w:szCs w:val="24"/>
        </w:rPr>
        <w:t>‘</w:t>
      </w:r>
      <w:r w:rsidRPr="00BB1E85">
        <w:rPr>
          <w:rFonts w:ascii="Times New Roman" w:hAnsi="Times New Roman"/>
          <w:sz w:val="24"/>
          <w:szCs w:val="24"/>
        </w:rPr>
        <w:t>reservations in pledges of compliance with the constitution, systematic ab</w:t>
      </w:r>
      <w:r>
        <w:rPr>
          <w:rFonts w:ascii="Times New Roman" w:hAnsi="Times New Roman"/>
          <w:sz w:val="24"/>
          <w:szCs w:val="24"/>
        </w:rPr>
        <w:t>s</w:t>
      </w:r>
      <w:r w:rsidRPr="00BB1E85">
        <w:rPr>
          <w:rFonts w:ascii="Times New Roman" w:hAnsi="Times New Roman"/>
          <w:sz w:val="24"/>
          <w:szCs w:val="24"/>
        </w:rPr>
        <w:t>ence from institutions</w:t>
      </w:r>
      <w:r>
        <w:rPr>
          <w:rFonts w:ascii="Times New Roman" w:hAnsi="Times New Roman"/>
          <w:sz w:val="24"/>
          <w:szCs w:val="24"/>
        </w:rPr>
        <w:t>…</w:t>
      </w:r>
      <w:r w:rsidRPr="00BB1E85">
        <w:rPr>
          <w:rFonts w:ascii="Times New Roman" w:hAnsi="Times New Roman"/>
          <w:sz w:val="24"/>
          <w:szCs w:val="24"/>
        </w:rPr>
        <w:t xml:space="preserve"> present</w:t>
      </w:r>
      <w:r>
        <w:rPr>
          <w:rFonts w:ascii="Times New Roman" w:hAnsi="Times New Roman"/>
          <w:sz w:val="24"/>
          <w:szCs w:val="24"/>
        </w:rPr>
        <w:t>ing</w:t>
      </w:r>
      <w:r w:rsidRPr="00BB1E85">
        <w:rPr>
          <w:rFonts w:ascii="Times New Roman" w:hAnsi="Times New Roman"/>
          <w:sz w:val="24"/>
          <w:szCs w:val="24"/>
        </w:rPr>
        <w:t xml:space="preserve"> candidates belonging to a terrorist organisation</w:t>
      </w:r>
      <w:r>
        <w:rPr>
          <w:rFonts w:ascii="Times New Roman" w:hAnsi="Times New Roman"/>
          <w:sz w:val="24"/>
          <w:szCs w:val="24"/>
        </w:rPr>
        <w:t>.</w:t>
      </w:r>
      <w:r>
        <w:rPr>
          <w:rStyle w:val="FootnoteReference"/>
          <w:sz w:val="24"/>
          <w:szCs w:val="24"/>
        </w:rPr>
        <w:footnoteReference w:id="88"/>
      </w:r>
      <w:r w:rsidRPr="00BB1E85">
        <w:rPr>
          <w:rFonts w:ascii="Times New Roman" w:hAnsi="Times New Roman"/>
          <w:sz w:val="24"/>
          <w:szCs w:val="24"/>
        </w:rPr>
        <w:t xml:space="preserve"> </w:t>
      </w:r>
    </w:p>
    <w:p w:rsidR="00C2511F" w:rsidRDefault="00C2511F" w:rsidP="00C2511F">
      <w:pPr>
        <w:spacing w:line="360" w:lineRule="auto"/>
        <w:rPr>
          <w:rFonts w:ascii="Times New Roman" w:hAnsi="Times New Roman"/>
          <w:sz w:val="24"/>
          <w:szCs w:val="24"/>
        </w:rPr>
      </w:pPr>
      <w:r>
        <w:rPr>
          <w:rFonts w:ascii="Times New Roman" w:hAnsi="Times New Roman"/>
          <w:sz w:val="24"/>
          <w:szCs w:val="24"/>
        </w:rPr>
        <w:t xml:space="preserve">The governing PSOE party did not endorse the motion, but agreed with the premise of banning HB. The Minister of Justice, Sr. </w:t>
      </w:r>
      <w:proofErr w:type="spellStart"/>
      <w:r>
        <w:rPr>
          <w:rFonts w:ascii="Times New Roman" w:hAnsi="Times New Roman"/>
          <w:sz w:val="24"/>
          <w:szCs w:val="24"/>
        </w:rPr>
        <w:t>Ledesma</w:t>
      </w:r>
      <w:proofErr w:type="spellEnd"/>
      <w:r>
        <w:rPr>
          <w:rFonts w:ascii="Times New Roman" w:hAnsi="Times New Roman"/>
          <w:sz w:val="24"/>
          <w:szCs w:val="24"/>
        </w:rPr>
        <w:t xml:space="preserve"> </w:t>
      </w:r>
      <w:proofErr w:type="spellStart"/>
      <w:r>
        <w:rPr>
          <w:rFonts w:ascii="Times New Roman" w:hAnsi="Times New Roman"/>
          <w:sz w:val="24"/>
          <w:szCs w:val="24"/>
        </w:rPr>
        <w:t>Bartret</w:t>
      </w:r>
      <w:proofErr w:type="spellEnd"/>
      <w:r>
        <w:rPr>
          <w:rFonts w:ascii="Times New Roman" w:hAnsi="Times New Roman"/>
          <w:sz w:val="24"/>
          <w:szCs w:val="24"/>
        </w:rPr>
        <w:t xml:space="preserve"> responded to the CP’s parliamentary motion with the argument that the PSOE government had </w:t>
      </w:r>
      <w:r w:rsidRPr="00BB1E85">
        <w:rPr>
          <w:rFonts w:ascii="Times New Roman" w:hAnsi="Times New Roman"/>
          <w:sz w:val="24"/>
          <w:szCs w:val="24"/>
        </w:rPr>
        <w:t>done all it could to try to prevent HB to constitute itself as a party by denying it registration and pursuing the matter through the courts</w:t>
      </w:r>
      <w:r>
        <w:rPr>
          <w:rFonts w:ascii="Times New Roman" w:hAnsi="Times New Roman"/>
          <w:sz w:val="24"/>
          <w:szCs w:val="24"/>
        </w:rPr>
        <w:t>.</w:t>
      </w:r>
      <w:r>
        <w:rPr>
          <w:rStyle w:val="FootnoteReference"/>
          <w:sz w:val="24"/>
          <w:szCs w:val="24"/>
        </w:rPr>
        <w:footnoteReference w:id="89"/>
      </w:r>
      <w:r w:rsidRPr="00BB1E85">
        <w:rPr>
          <w:rFonts w:ascii="Times New Roman" w:hAnsi="Times New Roman"/>
          <w:sz w:val="24"/>
          <w:szCs w:val="24"/>
        </w:rPr>
        <w:t xml:space="preserve"> </w:t>
      </w:r>
      <w:proofErr w:type="spellStart"/>
      <w:r>
        <w:rPr>
          <w:rFonts w:ascii="Times New Roman" w:hAnsi="Times New Roman"/>
          <w:sz w:val="24"/>
          <w:szCs w:val="24"/>
        </w:rPr>
        <w:t>Sr</w:t>
      </w:r>
      <w:proofErr w:type="spellEnd"/>
      <w:r>
        <w:rPr>
          <w:rFonts w:ascii="Times New Roman" w:hAnsi="Times New Roman"/>
          <w:sz w:val="24"/>
          <w:szCs w:val="24"/>
        </w:rPr>
        <w:t xml:space="preserve"> </w:t>
      </w:r>
      <w:proofErr w:type="spellStart"/>
      <w:r>
        <w:rPr>
          <w:rFonts w:ascii="Times New Roman" w:hAnsi="Times New Roman"/>
          <w:sz w:val="24"/>
          <w:szCs w:val="24"/>
        </w:rPr>
        <w:t>Ledesma</w:t>
      </w:r>
      <w:proofErr w:type="spellEnd"/>
      <w:r>
        <w:rPr>
          <w:rFonts w:ascii="Times New Roman" w:hAnsi="Times New Roman"/>
          <w:sz w:val="24"/>
          <w:szCs w:val="24"/>
        </w:rPr>
        <w:t xml:space="preserve"> </w:t>
      </w:r>
      <w:r w:rsidRPr="00BB1E85">
        <w:rPr>
          <w:rFonts w:ascii="Times New Roman" w:hAnsi="Times New Roman"/>
          <w:sz w:val="24"/>
          <w:szCs w:val="24"/>
        </w:rPr>
        <w:t xml:space="preserve">explicitly stated that ‘the legalisation of </w:t>
      </w:r>
      <w:proofErr w:type="spellStart"/>
      <w:r w:rsidRPr="00BB1E85">
        <w:rPr>
          <w:rFonts w:ascii="Times New Roman" w:hAnsi="Times New Roman"/>
          <w:i/>
          <w:sz w:val="24"/>
          <w:szCs w:val="24"/>
        </w:rPr>
        <w:t>Herri</w:t>
      </w:r>
      <w:proofErr w:type="spellEnd"/>
      <w:r w:rsidRPr="00BB1E85">
        <w:rPr>
          <w:rFonts w:ascii="Times New Roman" w:hAnsi="Times New Roman"/>
          <w:i/>
          <w:sz w:val="24"/>
          <w:szCs w:val="24"/>
        </w:rPr>
        <w:t xml:space="preserve"> </w:t>
      </w:r>
      <w:proofErr w:type="spellStart"/>
      <w:r w:rsidRPr="00BB1E85">
        <w:rPr>
          <w:rFonts w:ascii="Times New Roman" w:hAnsi="Times New Roman"/>
          <w:i/>
          <w:sz w:val="24"/>
          <w:szCs w:val="24"/>
        </w:rPr>
        <w:t>Batasuna</w:t>
      </w:r>
      <w:proofErr w:type="spellEnd"/>
      <w:r w:rsidRPr="00BB1E85">
        <w:rPr>
          <w:rFonts w:ascii="Times New Roman" w:hAnsi="Times New Roman"/>
          <w:sz w:val="24"/>
          <w:szCs w:val="24"/>
        </w:rPr>
        <w:t xml:space="preserve"> as a political party has not been agreed by </w:t>
      </w:r>
      <w:r w:rsidRPr="00BB1E85">
        <w:rPr>
          <w:rFonts w:ascii="Times New Roman" w:hAnsi="Times New Roman"/>
          <w:sz w:val="24"/>
          <w:szCs w:val="24"/>
        </w:rPr>
        <w:lastRenderedPageBreak/>
        <w:t>the government’, but was ‘produced in compliance with a judicial mandate which it would obviously respect, but after taking all legal actions to ‘avoid this ruling’</w:t>
      </w:r>
      <w:r>
        <w:rPr>
          <w:rFonts w:ascii="Times New Roman" w:hAnsi="Times New Roman"/>
          <w:sz w:val="24"/>
          <w:szCs w:val="24"/>
        </w:rPr>
        <w:t>.</w:t>
      </w:r>
      <w:r>
        <w:rPr>
          <w:rStyle w:val="FootnoteReference"/>
          <w:sz w:val="24"/>
          <w:szCs w:val="24"/>
        </w:rPr>
        <w:footnoteReference w:id="90"/>
      </w:r>
    </w:p>
    <w:p w:rsidR="00A7344D" w:rsidRDefault="00C2511F" w:rsidP="00C2511F">
      <w:pPr>
        <w:autoSpaceDE w:val="0"/>
        <w:autoSpaceDN w:val="0"/>
        <w:adjustRightInd w:val="0"/>
        <w:spacing w:line="360" w:lineRule="auto"/>
        <w:rPr>
          <w:rFonts w:ascii="Times New Roman" w:hAnsi="Times New Roman"/>
          <w:sz w:val="24"/>
          <w:szCs w:val="24"/>
        </w:rPr>
      </w:pPr>
      <w:r w:rsidRPr="00C2511F">
        <w:rPr>
          <w:rFonts w:ascii="Times New Roman" w:hAnsi="Times New Roman"/>
          <w:sz w:val="24"/>
          <w:szCs w:val="24"/>
        </w:rPr>
        <w:t xml:space="preserve">It is at this point that the role of the judiciary as a veto player becomes important. Even though the party of government and the largest major opposition party wanted to exclude </w:t>
      </w:r>
      <w:proofErr w:type="spellStart"/>
      <w:r w:rsidRPr="00C2511F">
        <w:rPr>
          <w:rFonts w:ascii="Times New Roman" w:hAnsi="Times New Roman"/>
          <w:sz w:val="24"/>
          <w:szCs w:val="24"/>
        </w:rPr>
        <w:t>Herri</w:t>
      </w:r>
      <w:proofErr w:type="spellEnd"/>
      <w:r w:rsidRPr="00C2511F">
        <w:rPr>
          <w:rFonts w:ascii="Times New Roman" w:hAnsi="Times New Roman"/>
          <w:sz w:val="24"/>
          <w:szCs w:val="24"/>
        </w:rPr>
        <w:t xml:space="preserve"> </w:t>
      </w:r>
      <w:proofErr w:type="spellStart"/>
      <w:r w:rsidRPr="00C2511F">
        <w:rPr>
          <w:rFonts w:ascii="Times New Roman" w:hAnsi="Times New Roman"/>
          <w:sz w:val="24"/>
          <w:szCs w:val="24"/>
        </w:rPr>
        <w:t>Batasuna</w:t>
      </w:r>
      <w:proofErr w:type="spellEnd"/>
      <w:r w:rsidRPr="00C2511F">
        <w:rPr>
          <w:rFonts w:ascii="Times New Roman" w:hAnsi="Times New Roman"/>
          <w:sz w:val="24"/>
          <w:szCs w:val="24"/>
        </w:rPr>
        <w:t xml:space="preserve"> from the political arena, the courts rule this out. In the early 1980s, the government unsuccessfully sought to deny registration to </w:t>
      </w:r>
      <w:proofErr w:type="spellStart"/>
      <w:r w:rsidRPr="00C2511F">
        <w:rPr>
          <w:rFonts w:ascii="Times New Roman" w:hAnsi="Times New Roman"/>
          <w:i/>
          <w:sz w:val="24"/>
          <w:szCs w:val="24"/>
        </w:rPr>
        <w:t>Herri</w:t>
      </w:r>
      <w:proofErr w:type="spellEnd"/>
      <w:r w:rsidRPr="00C2511F">
        <w:rPr>
          <w:rFonts w:ascii="Times New Roman" w:hAnsi="Times New Roman"/>
          <w:i/>
          <w:sz w:val="24"/>
          <w:szCs w:val="24"/>
        </w:rPr>
        <w:t xml:space="preserve"> </w:t>
      </w:r>
      <w:proofErr w:type="spellStart"/>
      <w:r w:rsidRPr="00C2511F">
        <w:rPr>
          <w:rFonts w:ascii="Times New Roman" w:hAnsi="Times New Roman"/>
          <w:i/>
          <w:sz w:val="24"/>
          <w:szCs w:val="24"/>
        </w:rPr>
        <w:t>Batasuna</w:t>
      </w:r>
      <w:proofErr w:type="spellEnd"/>
      <w:r w:rsidRPr="00C2511F">
        <w:rPr>
          <w:rFonts w:ascii="Times New Roman" w:hAnsi="Times New Roman"/>
          <w:sz w:val="24"/>
          <w:szCs w:val="24"/>
        </w:rPr>
        <w:t xml:space="preserve"> because its party statutes did not require party members to be Spanish nationals or expressly state the party’s ‘respect’ for the constitution (Esparza, 2004, 145). The Supreme Court overturned the decision, arguing, among other things, that parties were not required to explicitly declare respect for the constitution. Soon afterwards, the Supreme Court rejected the government’s request to declare HB an illicit association because there was no evidence in the documentation provided by </w:t>
      </w:r>
      <w:proofErr w:type="spellStart"/>
      <w:r w:rsidRPr="00C2511F">
        <w:rPr>
          <w:rFonts w:ascii="Times New Roman" w:hAnsi="Times New Roman"/>
          <w:sz w:val="24"/>
          <w:szCs w:val="24"/>
        </w:rPr>
        <w:t>Herri</w:t>
      </w:r>
      <w:proofErr w:type="spellEnd"/>
      <w:r w:rsidRPr="00C2511F">
        <w:rPr>
          <w:rFonts w:ascii="Times New Roman" w:hAnsi="Times New Roman"/>
          <w:sz w:val="24"/>
          <w:szCs w:val="24"/>
        </w:rPr>
        <w:t xml:space="preserve"> </w:t>
      </w:r>
      <w:proofErr w:type="spellStart"/>
      <w:r w:rsidRPr="00C2511F">
        <w:rPr>
          <w:rFonts w:ascii="Times New Roman" w:hAnsi="Times New Roman"/>
          <w:sz w:val="24"/>
          <w:szCs w:val="24"/>
        </w:rPr>
        <w:t>Batasuna’s</w:t>
      </w:r>
      <w:proofErr w:type="spellEnd"/>
      <w:r w:rsidRPr="00C2511F">
        <w:rPr>
          <w:rFonts w:ascii="Times New Roman" w:hAnsi="Times New Roman"/>
          <w:sz w:val="24"/>
          <w:szCs w:val="24"/>
        </w:rPr>
        <w:t xml:space="preserve"> for registration, that the party was a criminal association (ibid, 144-5). HB was formally registered as a political party in 1986.</w:t>
      </w:r>
      <w:r w:rsidR="00AB7AE8">
        <w:rPr>
          <w:rFonts w:ascii="Times New Roman" w:hAnsi="Times New Roman"/>
          <w:sz w:val="24"/>
          <w:szCs w:val="24"/>
        </w:rPr>
        <w:t xml:space="preserve"> </w:t>
      </w:r>
    </w:p>
    <w:p w:rsidR="00A7344D" w:rsidRDefault="00A7344D" w:rsidP="00A7344D">
      <w:pPr>
        <w:spacing w:before="100" w:beforeAutospacing="1" w:after="100" w:afterAutospacing="1" w:line="360" w:lineRule="auto"/>
        <w:jc w:val="both"/>
        <w:rPr>
          <w:rFonts w:ascii="Times New Roman" w:hAnsi="Times New Roman"/>
          <w:sz w:val="24"/>
          <w:szCs w:val="24"/>
          <w:lang w:val="en-US"/>
        </w:rPr>
      </w:pPr>
      <w:r>
        <w:rPr>
          <w:rFonts w:ascii="Times New Roman" w:hAnsi="Times New Roman"/>
          <w:sz w:val="24"/>
          <w:szCs w:val="24"/>
        </w:rPr>
        <w:t xml:space="preserve">As mentioned above, however, after the introduction of the new party law the judiciary supported the proscription of HB, EH and </w:t>
      </w:r>
      <w:proofErr w:type="spellStart"/>
      <w:r>
        <w:rPr>
          <w:rFonts w:ascii="Times New Roman" w:hAnsi="Times New Roman"/>
          <w:sz w:val="24"/>
          <w:szCs w:val="24"/>
        </w:rPr>
        <w:t>Batasuna</w:t>
      </w:r>
      <w:proofErr w:type="spellEnd"/>
      <w:r>
        <w:rPr>
          <w:rFonts w:ascii="Times New Roman" w:hAnsi="Times New Roman"/>
          <w:sz w:val="24"/>
          <w:szCs w:val="24"/>
        </w:rPr>
        <w:t xml:space="preserve"> and a host of other parties. </w:t>
      </w:r>
      <w:r w:rsidRPr="002B11F9">
        <w:rPr>
          <w:rFonts w:ascii="Times New Roman" w:hAnsi="Times New Roman"/>
          <w:sz w:val="24"/>
          <w:szCs w:val="24"/>
          <w:lang w:val="en-US"/>
        </w:rPr>
        <w:t>To block successor parties, the Supreme Court subsequently denied registration to two parties (</w:t>
      </w:r>
      <w:proofErr w:type="spellStart"/>
      <w:r w:rsidRPr="002B11F9">
        <w:rPr>
          <w:rFonts w:ascii="Times New Roman" w:hAnsi="Times New Roman"/>
          <w:i/>
          <w:sz w:val="24"/>
          <w:szCs w:val="24"/>
        </w:rPr>
        <w:t>Abertzale</w:t>
      </w:r>
      <w:proofErr w:type="spellEnd"/>
      <w:r w:rsidRPr="002B11F9">
        <w:rPr>
          <w:rFonts w:ascii="Times New Roman" w:hAnsi="Times New Roman"/>
          <w:i/>
          <w:sz w:val="24"/>
          <w:szCs w:val="24"/>
        </w:rPr>
        <w:t xml:space="preserve"> </w:t>
      </w:r>
      <w:proofErr w:type="spellStart"/>
      <w:r w:rsidRPr="002B11F9">
        <w:rPr>
          <w:rFonts w:ascii="Times New Roman" w:hAnsi="Times New Roman"/>
          <w:i/>
          <w:sz w:val="24"/>
          <w:szCs w:val="24"/>
        </w:rPr>
        <w:t>Sozialisten</w:t>
      </w:r>
      <w:proofErr w:type="spellEnd"/>
      <w:r w:rsidRPr="002B11F9">
        <w:rPr>
          <w:rFonts w:ascii="Times New Roman" w:hAnsi="Times New Roman"/>
          <w:i/>
          <w:sz w:val="24"/>
          <w:szCs w:val="24"/>
        </w:rPr>
        <w:t xml:space="preserve"> </w:t>
      </w:r>
      <w:proofErr w:type="spellStart"/>
      <w:r w:rsidRPr="002B11F9">
        <w:rPr>
          <w:rFonts w:ascii="Times New Roman" w:hAnsi="Times New Roman"/>
          <w:i/>
          <w:sz w:val="24"/>
          <w:szCs w:val="24"/>
        </w:rPr>
        <w:t>Batasuna</w:t>
      </w:r>
      <w:proofErr w:type="spellEnd"/>
      <w:r w:rsidRPr="002B11F9">
        <w:rPr>
          <w:rFonts w:ascii="Times New Roman" w:hAnsi="Times New Roman"/>
          <w:i/>
          <w:sz w:val="24"/>
          <w:szCs w:val="24"/>
        </w:rPr>
        <w:t xml:space="preserve"> </w:t>
      </w:r>
      <w:r w:rsidRPr="002B11F9">
        <w:rPr>
          <w:rFonts w:ascii="Times New Roman" w:hAnsi="Times New Roman"/>
          <w:sz w:val="24"/>
          <w:szCs w:val="24"/>
        </w:rPr>
        <w:t xml:space="preserve">and </w:t>
      </w:r>
      <w:proofErr w:type="spellStart"/>
      <w:r w:rsidRPr="002B11F9">
        <w:rPr>
          <w:rFonts w:ascii="Times New Roman" w:hAnsi="Times New Roman"/>
          <w:i/>
          <w:sz w:val="24"/>
          <w:szCs w:val="24"/>
        </w:rPr>
        <w:t>Sortu</w:t>
      </w:r>
      <w:proofErr w:type="spellEnd"/>
      <w:r w:rsidRPr="002B11F9">
        <w:rPr>
          <w:rFonts w:ascii="Times New Roman" w:hAnsi="Times New Roman"/>
          <w:sz w:val="24"/>
          <w:szCs w:val="24"/>
          <w:lang w:val="en-US"/>
        </w:rPr>
        <w:t>); dissolved two parties (</w:t>
      </w:r>
      <w:proofErr w:type="spellStart"/>
      <w:r w:rsidRPr="002B11F9">
        <w:rPr>
          <w:rFonts w:ascii="Times New Roman" w:hAnsi="Times New Roman"/>
          <w:i/>
          <w:sz w:val="24"/>
          <w:szCs w:val="24"/>
        </w:rPr>
        <w:t>Eusko</w:t>
      </w:r>
      <w:proofErr w:type="spellEnd"/>
      <w:r w:rsidRPr="002B11F9">
        <w:rPr>
          <w:rFonts w:ascii="Times New Roman" w:hAnsi="Times New Roman"/>
          <w:i/>
          <w:sz w:val="24"/>
          <w:szCs w:val="24"/>
        </w:rPr>
        <w:t xml:space="preserve"> </w:t>
      </w:r>
      <w:proofErr w:type="spellStart"/>
      <w:r w:rsidRPr="002B11F9">
        <w:rPr>
          <w:rFonts w:ascii="Times New Roman" w:hAnsi="Times New Roman"/>
          <w:i/>
          <w:sz w:val="24"/>
          <w:szCs w:val="24"/>
        </w:rPr>
        <w:t>Abertzale</w:t>
      </w:r>
      <w:proofErr w:type="spellEnd"/>
      <w:r w:rsidRPr="002B11F9">
        <w:rPr>
          <w:rFonts w:ascii="Times New Roman" w:hAnsi="Times New Roman"/>
          <w:i/>
          <w:sz w:val="24"/>
          <w:szCs w:val="24"/>
        </w:rPr>
        <w:t xml:space="preserve"> </w:t>
      </w:r>
      <w:proofErr w:type="spellStart"/>
      <w:r w:rsidRPr="002B11F9">
        <w:rPr>
          <w:rFonts w:ascii="Times New Roman" w:hAnsi="Times New Roman"/>
          <w:i/>
          <w:sz w:val="24"/>
          <w:szCs w:val="24"/>
        </w:rPr>
        <w:t>Ekintza</w:t>
      </w:r>
      <w:proofErr w:type="spellEnd"/>
      <w:r w:rsidRPr="002B11F9">
        <w:rPr>
          <w:rFonts w:ascii="Times New Roman" w:hAnsi="Times New Roman"/>
          <w:i/>
          <w:sz w:val="24"/>
          <w:szCs w:val="24"/>
        </w:rPr>
        <w:t xml:space="preserve"> (EAE) </w:t>
      </w:r>
      <w:r w:rsidRPr="002B11F9">
        <w:rPr>
          <w:rFonts w:ascii="Times New Roman" w:hAnsi="Times New Roman"/>
          <w:sz w:val="24"/>
          <w:szCs w:val="24"/>
        </w:rPr>
        <w:t xml:space="preserve">and </w:t>
      </w:r>
      <w:proofErr w:type="spellStart"/>
      <w:r w:rsidRPr="002B11F9">
        <w:rPr>
          <w:rFonts w:ascii="Times New Roman" w:hAnsi="Times New Roman"/>
          <w:i/>
          <w:iCs/>
          <w:sz w:val="24"/>
          <w:szCs w:val="24"/>
        </w:rPr>
        <w:t>Euskal</w:t>
      </w:r>
      <w:proofErr w:type="spellEnd"/>
      <w:r w:rsidRPr="002B11F9">
        <w:rPr>
          <w:rFonts w:ascii="Times New Roman" w:hAnsi="Times New Roman"/>
          <w:i/>
          <w:iCs/>
          <w:sz w:val="24"/>
          <w:szCs w:val="24"/>
        </w:rPr>
        <w:t xml:space="preserve"> </w:t>
      </w:r>
      <w:proofErr w:type="spellStart"/>
      <w:r w:rsidRPr="002B11F9">
        <w:rPr>
          <w:rFonts w:ascii="Times New Roman" w:hAnsi="Times New Roman"/>
          <w:i/>
          <w:iCs/>
          <w:sz w:val="24"/>
          <w:szCs w:val="24"/>
        </w:rPr>
        <w:t>Herrialdeetako</w:t>
      </w:r>
      <w:proofErr w:type="spellEnd"/>
      <w:r w:rsidRPr="002B11F9">
        <w:rPr>
          <w:rFonts w:ascii="Times New Roman" w:hAnsi="Times New Roman"/>
          <w:i/>
          <w:iCs/>
          <w:sz w:val="24"/>
          <w:szCs w:val="24"/>
        </w:rPr>
        <w:t xml:space="preserve"> </w:t>
      </w:r>
      <w:proofErr w:type="spellStart"/>
      <w:r w:rsidRPr="002B11F9">
        <w:rPr>
          <w:rFonts w:ascii="Times New Roman" w:hAnsi="Times New Roman"/>
          <w:i/>
          <w:iCs/>
          <w:sz w:val="24"/>
          <w:szCs w:val="24"/>
        </w:rPr>
        <w:t>Alderdi</w:t>
      </w:r>
      <w:proofErr w:type="spellEnd"/>
      <w:r w:rsidRPr="002B11F9">
        <w:rPr>
          <w:rFonts w:ascii="Times New Roman" w:hAnsi="Times New Roman"/>
          <w:i/>
          <w:iCs/>
          <w:sz w:val="24"/>
          <w:szCs w:val="24"/>
        </w:rPr>
        <w:t xml:space="preserve"> </w:t>
      </w:r>
      <w:proofErr w:type="spellStart"/>
      <w:r w:rsidRPr="002B11F9">
        <w:rPr>
          <w:rFonts w:ascii="Times New Roman" w:hAnsi="Times New Roman"/>
          <w:i/>
          <w:iCs/>
          <w:sz w:val="24"/>
          <w:szCs w:val="24"/>
        </w:rPr>
        <w:t>Komunista</w:t>
      </w:r>
      <w:proofErr w:type="spellEnd"/>
      <w:r w:rsidRPr="002B11F9">
        <w:rPr>
          <w:rFonts w:ascii="Times New Roman" w:hAnsi="Times New Roman"/>
          <w:i/>
          <w:iCs/>
          <w:sz w:val="24"/>
          <w:szCs w:val="24"/>
        </w:rPr>
        <w:t>)</w:t>
      </w:r>
      <w:r w:rsidRPr="002B11F9">
        <w:rPr>
          <w:rFonts w:ascii="Times New Roman" w:hAnsi="Times New Roman"/>
          <w:sz w:val="24"/>
          <w:szCs w:val="24"/>
          <w:lang w:val="en-US"/>
        </w:rPr>
        <w:t>;</w:t>
      </w:r>
      <w:r w:rsidRPr="002B11F9">
        <w:rPr>
          <w:rFonts w:ascii="Times New Roman" w:hAnsi="Times New Roman"/>
          <w:i/>
          <w:sz w:val="24"/>
          <w:szCs w:val="24"/>
          <w:lang w:val="en-US"/>
        </w:rPr>
        <w:t xml:space="preserve"> </w:t>
      </w:r>
      <w:r w:rsidRPr="002B11F9">
        <w:rPr>
          <w:rFonts w:ascii="Times New Roman" w:hAnsi="Times New Roman"/>
          <w:sz w:val="24"/>
          <w:szCs w:val="24"/>
          <w:lang w:val="en-US"/>
        </w:rPr>
        <w:t>and disqualified two party lists for particular elections (EAE</w:t>
      </w:r>
      <w:r w:rsidRPr="002B11F9">
        <w:rPr>
          <w:rFonts w:ascii="Times New Roman" w:hAnsi="Times New Roman"/>
          <w:i/>
          <w:sz w:val="24"/>
          <w:szCs w:val="24"/>
          <w:lang w:val="en-US"/>
        </w:rPr>
        <w:t xml:space="preserve"> </w:t>
      </w:r>
      <w:r w:rsidRPr="002B11F9">
        <w:rPr>
          <w:rFonts w:ascii="Times New Roman" w:hAnsi="Times New Roman"/>
          <w:sz w:val="24"/>
          <w:szCs w:val="24"/>
          <w:lang w:val="en-US"/>
        </w:rPr>
        <w:t xml:space="preserve">and </w:t>
      </w:r>
      <w:proofErr w:type="spellStart"/>
      <w:r w:rsidRPr="002B11F9">
        <w:rPr>
          <w:rFonts w:ascii="Times New Roman" w:hAnsi="Times New Roman"/>
          <w:i/>
          <w:sz w:val="24"/>
          <w:szCs w:val="24"/>
          <w:lang w:val="en-US"/>
        </w:rPr>
        <w:t>Askatasuna</w:t>
      </w:r>
      <w:proofErr w:type="spellEnd"/>
      <w:r w:rsidRPr="002B11F9">
        <w:rPr>
          <w:rFonts w:ascii="Times New Roman" w:hAnsi="Times New Roman"/>
          <w:sz w:val="24"/>
          <w:szCs w:val="24"/>
          <w:lang w:val="en-US"/>
        </w:rPr>
        <w:t>). Some five hundred lists of candidates presented by electoral groupings have been disqualified for local, provincial, autonomous community and European Parliament elections (</w:t>
      </w:r>
      <w:r w:rsidRPr="002B11F9">
        <w:rPr>
          <w:rFonts w:ascii="Times New Roman" w:hAnsi="Times New Roman"/>
          <w:sz w:val="24"/>
          <w:szCs w:val="24"/>
        </w:rPr>
        <w:t xml:space="preserve">including </w:t>
      </w:r>
      <w:proofErr w:type="spellStart"/>
      <w:r w:rsidRPr="002B11F9">
        <w:rPr>
          <w:rFonts w:ascii="Times New Roman" w:hAnsi="Times New Roman"/>
          <w:i/>
          <w:sz w:val="24"/>
          <w:szCs w:val="24"/>
        </w:rPr>
        <w:t>Autodeterminaziorako</w:t>
      </w:r>
      <w:proofErr w:type="spellEnd"/>
      <w:r w:rsidRPr="002B11F9">
        <w:rPr>
          <w:rFonts w:ascii="Times New Roman" w:hAnsi="Times New Roman"/>
          <w:i/>
          <w:sz w:val="24"/>
          <w:szCs w:val="24"/>
        </w:rPr>
        <w:t xml:space="preserve"> </w:t>
      </w:r>
      <w:proofErr w:type="spellStart"/>
      <w:r w:rsidRPr="002B11F9">
        <w:rPr>
          <w:rFonts w:ascii="Times New Roman" w:hAnsi="Times New Roman"/>
          <w:i/>
          <w:sz w:val="24"/>
          <w:szCs w:val="24"/>
        </w:rPr>
        <w:t>Bilgunea</w:t>
      </w:r>
      <w:proofErr w:type="spellEnd"/>
      <w:r w:rsidRPr="002B11F9">
        <w:rPr>
          <w:rFonts w:ascii="Times New Roman" w:hAnsi="Times New Roman"/>
          <w:i/>
          <w:sz w:val="24"/>
          <w:szCs w:val="24"/>
        </w:rPr>
        <w:t xml:space="preserve">, </w:t>
      </w:r>
      <w:proofErr w:type="spellStart"/>
      <w:r w:rsidRPr="002B11F9">
        <w:rPr>
          <w:rFonts w:ascii="Times New Roman" w:hAnsi="Times New Roman"/>
          <w:i/>
          <w:sz w:val="24"/>
          <w:szCs w:val="24"/>
        </w:rPr>
        <w:t>Herritarren</w:t>
      </w:r>
      <w:proofErr w:type="spellEnd"/>
      <w:r w:rsidRPr="002B11F9">
        <w:rPr>
          <w:rFonts w:ascii="Times New Roman" w:hAnsi="Times New Roman"/>
          <w:i/>
          <w:sz w:val="24"/>
          <w:szCs w:val="24"/>
        </w:rPr>
        <w:t xml:space="preserve"> </w:t>
      </w:r>
      <w:proofErr w:type="spellStart"/>
      <w:r w:rsidRPr="002B11F9">
        <w:rPr>
          <w:rFonts w:ascii="Times New Roman" w:hAnsi="Times New Roman"/>
          <w:i/>
          <w:sz w:val="24"/>
          <w:szCs w:val="24"/>
        </w:rPr>
        <w:t>Zerrenda</w:t>
      </w:r>
      <w:proofErr w:type="spellEnd"/>
      <w:r w:rsidRPr="002B11F9">
        <w:rPr>
          <w:rFonts w:ascii="Times New Roman" w:hAnsi="Times New Roman"/>
          <w:i/>
          <w:sz w:val="24"/>
          <w:szCs w:val="24"/>
        </w:rPr>
        <w:t xml:space="preserve">, </w:t>
      </w:r>
      <w:proofErr w:type="spellStart"/>
      <w:r w:rsidRPr="002B11F9">
        <w:rPr>
          <w:rFonts w:ascii="Times New Roman" w:hAnsi="Times New Roman"/>
          <w:i/>
          <w:sz w:val="24"/>
          <w:szCs w:val="24"/>
        </w:rPr>
        <w:t>Aukera</w:t>
      </w:r>
      <w:proofErr w:type="spellEnd"/>
      <w:r w:rsidRPr="002B11F9">
        <w:rPr>
          <w:rFonts w:ascii="Times New Roman" w:hAnsi="Times New Roman"/>
          <w:i/>
          <w:sz w:val="24"/>
          <w:szCs w:val="24"/>
        </w:rPr>
        <w:t xml:space="preserve"> </w:t>
      </w:r>
      <w:proofErr w:type="spellStart"/>
      <w:r w:rsidRPr="002B11F9">
        <w:rPr>
          <w:rFonts w:ascii="Times New Roman" w:hAnsi="Times New Roman"/>
          <w:i/>
          <w:sz w:val="24"/>
          <w:szCs w:val="24"/>
        </w:rPr>
        <w:t>Guztiak</w:t>
      </w:r>
      <w:proofErr w:type="spellEnd"/>
      <w:r w:rsidRPr="002B11F9">
        <w:rPr>
          <w:rFonts w:ascii="Times New Roman" w:hAnsi="Times New Roman"/>
          <w:i/>
          <w:sz w:val="24"/>
          <w:szCs w:val="24"/>
        </w:rPr>
        <w:t xml:space="preserve">, </w:t>
      </w:r>
      <w:proofErr w:type="spellStart"/>
      <w:r w:rsidRPr="002B11F9">
        <w:rPr>
          <w:rFonts w:ascii="Times New Roman" w:hAnsi="Times New Roman"/>
          <w:i/>
          <w:sz w:val="24"/>
          <w:szCs w:val="24"/>
        </w:rPr>
        <w:t>Abertzale</w:t>
      </w:r>
      <w:proofErr w:type="spellEnd"/>
      <w:r w:rsidRPr="002B11F9">
        <w:rPr>
          <w:rFonts w:ascii="Times New Roman" w:hAnsi="Times New Roman"/>
          <w:i/>
          <w:sz w:val="24"/>
          <w:szCs w:val="24"/>
        </w:rPr>
        <w:t xml:space="preserve"> </w:t>
      </w:r>
      <w:proofErr w:type="spellStart"/>
      <w:r w:rsidRPr="002B11F9">
        <w:rPr>
          <w:rFonts w:ascii="Times New Roman" w:hAnsi="Times New Roman"/>
          <w:i/>
          <w:sz w:val="24"/>
          <w:szCs w:val="24"/>
        </w:rPr>
        <w:t>Sozialistak</w:t>
      </w:r>
      <w:proofErr w:type="spellEnd"/>
      <w:r w:rsidRPr="002B11F9">
        <w:rPr>
          <w:rFonts w:ascii="Times New Roman" w:hAnsi="Times New Roman"/>
          <w:i/>
          <w:sz w:val="24"/>
          <w:szCs w:val="24"/>
        </w:rPr>
        <w:t>,</w:t>
      </w:r>
      <w:r w:rsidRPr="002B11F9">
        <w:rPr>
          <w:rFonts w:ascii="Times New Roman" w:hAnsi="Times New Roman"/>
          <w:i/>
          <w:iCs/>
          <w:sz w:val="24"/>
          <w:szCs w:val="24"/>
        </w:rPr>
        <w:t xml:space="preserve"> </w:t>
      </w:r>
      <w:proofErr w:type="spellStart"/>
      <w:r w:rsidRPr="002B11F9">
        <w:rPr>
          <w:rFonts w:ascii="Times New Roman" w:hAnsi="Times New Roman"/>
          <w:bCs/>
          <w:i/>
          <w:sz w:val="24"/>
          <w:szCs w:val="24"/>
        </w:rPr>
        <w:t>Demokrazia</w:t>
      </w:r>
      <w:proofErr w:type="spellEnd"/>
      <w:r w:rsidRPr="002B11F9">
        <w:rPr>
          <w:rFonts w:ascii="Times New Roman" w:hAnsi="Times New Roman"/>
          <w:bCs/>
          <w:i/>
          <w:sz w:val="24"/>
          <w:szCs w:val="24"/>
        </w:rPr>
        <w:t xml:space="preserve"> </w:t>
      </w:r>
      <w:proofErr w:type="spellStart"/>
      <w:r w:rsidRPr="002B11F9">
        <w:rPr>
          <w:rFonts w:ascii="Times New Roman" w:hAnsi="Times New Roman"/>
          <w:bCs/>
          <w:i/>
          <w:sz w:val="24"/>
          <w:szCs w:val="24"/>
        </w:rPr>
        <w:t>Hiru</w:t>
      </w:r>
      <w:proofErr w:type="spellEnd"/>
      <w:r w:rsidRPr="002B11F9">
        <w:rPr>
          <w:rFonts w:ascii="Times New Roman" w:hAnsi="Times New Roman"/>
          <w:bCs/>
          <w:i/>
          <w:sz w:val="24"/>
          <w:szCs w:val="24"/>
        </w:rPr>
        <w:t xml:space="preserve"> </w:t>
      </w:r>
      <w:proofErr w:type="spellStart"/>
      <w:r w:rsidRPr="002B11F9">
        <w:rPr>
          <w:rFonts w:ascii="Times New Roman" w:hAnsi="Times New Roman"/>
          <w:bCs/>
          <w:i/>
          <w:sz w:val="24"/>
          <w:szCs w:val="24"/>
        </w:rPr>
        <w:t>Milioi</w:t>
      </w:r>
      <w:proofErr w:type="spellEnd"/>
      <w:r w:rsidRPr="002B11F9">
        <w:rPr>
          <w:rFonts w:ascii="Times New Roman" w:hAnsi="Times New Roman"/>
          <w:bCs/>
          <w:i/>
          <w:sz w:val="24"/>
          <w:szCs w:val="24"/>
        </w:rPr>
        <w:t>)</w:t>
      </w:r>
      <w:r w:rsidRPr="002B11F9">
        <w:rPr>
          <w:rFonts w:ascii="Times New Roman" w:hAnsi="Times New Roman"/>
          <w:sz w:val="24"/>
          <w:szCs w:val="24"/>
          <w:lang w:val="en-US"/>
        </w:rPr>
        <w:t xml:space="preserve">. </w:t>
      </w:r>
    </w:p>
    <w:p w:rsidR="00A7344D" w:rsidRDefault="00A7344D" w:rsidP="00A7344D">
      <w:pPr>
        <w:spacing w:before="100" w:beforeAutospacing="1" w:after="100" w:afterAutospacing="1" w:line="360" w:lineRule="auto"/>
        <w:jc w:val="both"/>
        <w:rPr>
          <w:rFonts w:ascii="Times New Roman" w:hAnsi="Times New Roman"/>
          <w:sz w:val="24"/>
          <w:szCs w:val="24"/>
          <w:lang w:val="en-US"/>
        </w:rPr>
      </w:pPr>
      <w:r>
        <w:rPr>
          <w:rFonts w:ascii="Times New Roman" w:hAnsi="Times New Roman"/>
          <w:sz w:val="24"/>
          <w:szCs w:val="24"/>
          <w:lang w:val="en-US"/>
        </w:rPr>
        <w:t xml:space="preserve">By the late 2000s, however, the Court began to take a more permissive states. </w:t>
      </w:r>
      <w:r w:rsidRPr="002B11F9">
        <w:rPr>
          <w:rFonts w:ascii="Times New Roman" w:hAnsi="Times New Roman"/>
          <w:sz w:val="24"/>
          <w:szCs w:val="24"/>
          <w:lang w:val="en-US"/>
        </w:rPr>
        <w:t>In 2009 and 2011 respectively, the Constitutional Court rejected Supreme Court rulings</w:t>
      </w:r>
      <w:r w:rsidRPr="006B1996">
        <w:rPr>
          <w:rFonts w:ascii="Times New Roman" w:hAnsi="Times New Roman"/>
          <w:sz w:val="24"/>
          <w:szCs w:val="24"/>
          <w:lang w:val="en-US"/>
        </w:rPr>
        <w:t xml:space="preserve"> that </w:t>
      </w:r>
      <w:r>
        <w:rPr>
          <w:rFonts w:ascii="Times New Roman" w:hAnsi="Times New Roman"/>
          <w:sz w:val="24"/>
          <w:szCs w:val="24"/>
          <w:lang w:val="en-US"/>
        </w:rPr>
        <w:t xml:space="preserve">the parties, </w:t>
      </w:r>
      <w:proofErr w:type="spellStart"/>
      <w:r w:rsidRPr="006B1996">
        <w:rPr>
          <w:rFonts w:ascii="Times New Roman" w:hAnsi="Times New Roman"/>
          <w:bCs/>
          <w:i/>
          <w:sz w:val="24"/>
          <w:szCs w:val="24"/>
          <w:lang w:val="en-US"/>
        </w:rPr>
        <w:t>Iniciativa</w:t>
      </w:r>
      <w:proofErr w:type="spellEnd"/>
      <w:r w:rsidRPr="006B1996">
        <w:rPr>
          <w:rFonts w:ascii="Times New Roman" w:hAnsi="Times New Roman"/>
          <w:bCs/>
          <w:i/>
          <w:sz w:val="24"/>
          <w:szCs w:val="24"/>
          <w:lang w:val="en-US"/>
        </w:rPr>
        <w:t xml:space="preserve"> </w:t>
      </w:r>
      <w:proofErr w:type="spellStart"/>
      <w:r w:rsidRPr="006B1996">
        <w:rPr>
          <w:rFonts w:ascii="Times New Roman" w:hAnsi="Times New Roman"/>
          <w:bCs/>
          <w:i/>
          <w:sz w:val="24"/>
          <w:szCs w:val="24"/>
          <w:lang w:val="en-US"/>
        </w:rPr>
        <w:t>Internacionalista</w:t>
      </w:r>
      <w:proofErr w:type="spellEnd"/>
      <w:r w:rsidRPr="006B1996">
        <w:rPr>
          <w:rFonts w:ascii="Times New Roman" w:hAnsi="Times New Roman"/>
          <w:bCs/>
          <w:i/>
          <w:sz w:val="24"/>
          <w:szCs w:val="24"/>
          <w:lang w:val="en-US"/>
        </w:rPr>
        <w:t xml:space="preserve">-La </w:t>
      </w:r>
      <w:proofErr w:type="spellStart"/>
      <w:r w:rsidRPr="006B1996">
        <w:rPr>
          <w:rFonts w:ascii="Times New Roman" w:hAnsi="Times New Roman"/>
          <w:bCs/>
          <w:i/>
          <w:sz w:val="24"/>
          <w:szCs w:val="24"/>
          <w:lang w:val="en-US"/>
        </w:rPr>
        <w:t>Solidaridad</w:t>
      </w:r>
      <w:proofErr w:type="spellEnd"/>
      <w:r w:rsidRPr="006B1996">
        <w:rPr>
          <w:rFonts w:ascii="Times New Roman" w:hAnsi="Times New Roman"/>
          <w:bCs/>
          <w:i/>
          <w:sz w:val="24"/>
          <w:szCs w:val="24"/>
          <w:lang w:val="en-US"/>
        </w:rPr>
        <w:t xml:space="preserve"> Entre los Pueblos </w:t>
      </w:r>
      <w:r w:rsidRPr="006B1996">
        <w:rPr>
          <w:rFonts w:ascii="Times New Roman" w:hAnsi="Times New Roman"/>
          <w:bCs/>
          <w:sz w:val="24"/>
          <w:szCs w:val="24"/>
          <w:lang w:val="en-US"/>
        </w:rPr>
        <w:t>and</w:t>
      </w:r>
      <w:r w:rsidRPr="006B1996">
        <w:rPr>
          <w:rFonts w:ascii="Times New Roman" w:hAnsi="Times New Roman"/>
          <w:bCs/>
          <w:i/>
          <w:sz w:val="24"/>
          <w:szCs w:val="24"/>
          <w:lang w:val="en-US"/>
        </w:rPr>
        <w:t xml:space="preserve"> </w:t>
      </w:r>
      <w:proofErr w:type="spellStart"/>
      <w:r w:rsidRPr="006B1996">
        <w:rPr>
          <w:rFonts w:ascii="Times New Roman" w:hAnsi="Times New Roman"/>
          <w:bCs/>
          <w:i/>
          <w:sz w:val="24"/>
          <w:szCs w:val="24"/>
          <w:lang w:val="en-US"/>
        </w:rPr>
        <w:t>Bildu</w:t>
      </w:r>
      <w:proofErr w:type="spellEnd"/>
      <w:r w:rsidRPr="006B1996">
        <w:rPr>
          <w:rFonts w:ascii="Times New Roman" w:hAnsi="Times New Roman"/>
          <w:bCs/>
          <w:i/>
          <w:sz w:val="24"/>
          <w:szCs w:val="24"/>
          <w:lang w:val="en-US"/>
        </w:rPr>
        <w:t xml:space="preserve"> </w:t>
      </w:r>
      <w:r w:rsidRPr="006B1996">
        <w:rPr>
          <w:rFonts w:ascii="Times New Roman" w:hAnsi="Times New Roman"/>
          <w:bCs/>
          <w:sz w:val="24"/>
          <w:szCs w:val="24"/>
          <w:lang w:val="en-US"/>
        </w:rPr>
        <w:t xml:space="preserve">were instruments of ETA, but </w:t>
      </w:r>
      <w:r>
        <w:rPr>
          <w:rFonts w:ascii="Times New Roman" w:hAnsi="Times New Roman"/>
          <w:bCs/>
          <w:sz w:val="24"/>
          <w:szCs w:val="24"/>
          <w:lang w:val="en-US"/>
        </w:rPr>
        <w:t xml:space="preserve">had previously </w:t>
      </w:r>
      <w:r w:rsidRPr="006B1996">
        <w:rPr>
          <w:rFonts w:ascii="Times New Roman" w:hAnsi="Times New Roman"/>
          <w:sz w:val="24"/>
          <w:szCs w:val="24"/>
          <w:lang w:val="en-US"/>
        </w:rPr>
        <w:t xml:space="preserve">endorsed all other rulings against the mentioned successor parties, coalitions and electoral groupings. </w:t>
      </w:r>
      <w:r>
        <w:rPr>
          <w:rFonts w:ascii="Times New Roman" w:hAnsi="Times New Roman"/>
          <w:sz w:val="24"/>
          <w:szCs w:val="24"/>
          <w:lang w:val="en-US"/>
        </w:rPr>
        <w:t xml:space="preserve">And most recently, the Constitutional Court legalized </w:t>
      </w:r>
      <w:proofErr w:type="spellStart"/>
      <w:r>
        <w:rPr>
          <w:rFonts w:ascii="Times New Roman" w:hAnsi="Times New Roman"/>
          <w:sz w:val="24"/>
          <w:szCs w:val="24"/>
          <w:lang w:val="en-US"/>
        </w:rPr>
        <w:t>Sortu</w:t>
      </w:r>
      <w:proofErr w:type="spellEnd"/>
      <w:r>
        <w:rPr>
          <w:rFonts w:ascii="Times New Roman" w:hAnsi="Times New Roman"/>
          <w:sz w:val="24"/>
          <w:szCs w:val="24"/>
          <w:lang w:val="en-US"/>
        </w:rPr>
        <w:t xml:space="preserve">, soon after ETA’s announced </w:t>
      </w:r>
      <w:r w:rsidRPr="00A7344D">
        <w:rPr>
          <w:rFonts w:ascii="Times New Roman" w:hAnsi="Times New Roman"/>
          <w:sz w:val="24"/>
          <w:szCs w:val="24"/>
          <w:lang w:val="en-US"/>
        </w:rPr>
        <w:t>‘definitive cessation of terrorist activity’ on</w:t>
      </w:r>
      <w:r>
        <w:rPr>
          <w:rFonts w:ascii="Times New Roman" w:hAnsi="Times New Roman"/>
          <w:sz w:val="24"/>
          <w:szCs w:val="24"/>
          <w:lang w:val="en-US"/>
        </w:rPr>
        <w:t xml:space="preserve"> 20 October 2012.</w:t>
      </w:r>
    </w:p>
    <w:p w:rsidR="00A7344D" w:rsidRPr="00A7344D" w:rsidRDefault="00B84156" w:rsidP="00C2511F">
      <w:pPr>
        <w:autoSpaceDE w:val="0"/>
        <w:autoSpaceDN w:val="0"/>
        <w:adjustRightInd w:val="0"/>
        <w:spacing w:line="360" w:lineRule="auto"/>
        <w:rPr>
          <w:rFonts w:ascii="Times New Roman" w:hAnsi="Times New Roman"/>
          <w:sz w:val="24"/>
          <w:szCs w:val="24"/>
          <w:lang w:val="en-US"/>
        </w:rPr>
      </w:pPr>
      <w:r>
        <w:rPr>
          <w:rFonts w:ascii="Times New Roman" w:hAnsi="Times New Roman"/>
          <w:sz w:val="24"/>
          <w:szCs w:val="24"/>
          <w:lang w:val="en-US"/>
        </w:rPr>
        <w:t xml:space="preserve">The empirical findings described above are summarized in table 4. </w:t>
      </w:r>
    </w:p>
    <w:p w:rsidR="0021746F" w:rsidRPr="008974D6" w:rsidRDefault="0021746F" w:rsidP="00B8506C">
      <w:pPr>
        <w:spacing w:line="360" w:lineRule="auto"/>
        <w:rPr>
          <w:rFonts w:ascii="Times New Roman" w:hAnsi="Times New Roman"/>
          <w:b/>
          <w:sz w:val="24"/>
          <w:szCs w:val="24"/>
        </w:rPr>
      </w:pPr>
      <w:r w:rsidRPr="008974D6">
        <w:rPr>
          <w:rFonts w:ascii="Times New Roman" w:hAnsi="Times New Roman"/>
          <w:b/>
          <w:sz w:val="24"/>
          <w:szCs w:val="24"/>
        </w:rPr>
        <w:lastRenderedPageBreak/>
        <w:t xml:space="preserve">Table 4: Dominant </w:t>
      </w:r>
      <w:r w:rsidR="00F66FE1">
        <w:rPr>
          <w:rFonts w:ascii="Times New Roman" w:hAnsi="Times New Roman"/>
          <w:b/>
          <w:sz w:val="24"/>
          <w:szCs w:val="24"/>
        </w:rPr>
        <w:t>discourse on party bans and veto players in Spain and the UK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7"/>
        <w:gridCol w:w="4927"/>
      </w:tblGrid>
      <w:tr w:rsidR="0021746F" w:rsidRPr="006F2C26" w:rsidTr="00AC5A4A">
        <w:tc>
          <w:tcPr>
            <w:tcW w:w="4927" w:type="dxa"/>
          </w:tcPr>
          <w:p w:rsidR="0021746F" w:rsidRPr="00AC5A4A" w:rsidRDefault="0021746F" w:rsidP="00AC5A4A">
            <w:pPr>
              <w:spacing w:line="360" w:lineRule="auto"/>
              <w:rPr>
                <w:rFonts w:ascii="Times New Roman" w:hAnsi="Times New Roman"/>
                <w:b/>
                <w:sz w:val="24"/>
                <w:szCs w:val="24"/>
                <w:lang w:val="es-ES"/>
              </w:rPr>
            </w:pPr>
            <w:proofErr w:type="spellStart"/>
            <w:r w:rsidRPr="00AC5A4A">
              <w:rPr>
                <w:rFonts w:ascii="Times New Roman" w:hAnsi="Times New Roman"/>
                <w:b/>
                <w:sz w:val="24"/>
                <w:szCs w:val="24"/>
                <w:lang w:val="es-ES"/>
              </w:rPr>
              <w:t>Herri</w:t>
            </w:r>
            <w:proofErr w:type="spellEnd"/>
            <w:r w:rsidRPr="00AC5A4A">
              <w:rPr>
                <w:rFonts w:ascii="Times New Roman" w:hAnsi="Times New Roman"/>
                <w:b/>
                <w:sz w:val="24"/>
                <w:szCs w:val="24"/>
                <w:lang w:val="es-ES"/>
              </w:rPr>
              <w:t xml:space="preserve"> Batasuna, Batasuna, </w:t>
            </w:r>
            <w:proofErr w:type="spellStart"/>
            <w:r w:rsidRPr="00AC5A4A">
              <w:rPr>
                <w:rFonts w:ascii="Times New Roman" w:hAnsi="Times New Roman"/>
                <w:b/>
                <w:sz w:val="24"/>
                <w:szCs w:val="24"/>
                <w:lang w:val="es-ES"/>
              </w:rPr>
              <w:t>Sortu</w:t>
            </w:r>
            <w:proofErr w:type="spellEnd"/>
            <w:r w:rsidRPr="00AC5A4A">
              <w:rPr>
                <w:rFonts w:ascii="Times New Roman" w:hAnsi="Times New Roman"/>
                <w:b/>
                <w:sz w:val="24"/>
                <w:szCs w:val="24"/>
                <w:lang w:val="es-ES"/>
              </w:rPr>
              <w:t xml:space="preserve"> </w:t>
            </w:r>
            <w:proofErr w:type="spellStart"/>
            <w:r w:rsidRPr="00AC5A4A">
              <w:rPr>
                <w:rFonts w:ascii="Times New Roman" w:hAnsi="Times New Roman"/>
                <w:b/>
                <w:sz w:val="24"/>
                <w:szCs w:val="24"/>
                <w:lang w:val="es-ES"/>
              </w:rPr>
              <w:t>etc</w:t>
            </w:r>
            <w:proofErr w:type="spellEnd"/>
          </w:p>
        </w:tc>
        <w:tc>
          <w:tcPr>
            <w:tcW w:w="4927" w:type="dxa"/>
          </w:tcPr>
          <w:p w:rsidR="0021746F" w:rsidRPr="00AC5A4A" w:rsidRDefault="0021746F" w:rsidP="00AC5A4A">
            <w:pPr>
              <w:spacing w:line="360" w:lineRule="auto"/>
              <w:rPr>
                <w:rFonts w:ascii="Times New Roman" w:hAnsi="Times New Roman"/>
                <w:b/>
                <w:sz w:val="24"/>
                <w:szCs w:val="24"/>
                <w:lang w:val="es-ES"/>
              </w:rPr>
            </w:pPr>
            <w:r w:rsidRPr="00AC5A4A">
              <w:rPr>
                <w:rFonts w:ascii="Times New Roman" w:hAnsi="Times New Roman"/>
                <w:b/>
                <w:sz w:val="24"/>
                <w:szCs w:val="24"/>
                <w:lang w:val="es-ES"/>
              </w:rPr>
              <w:t xml:space="preserve">Sinn </w:t>
            </w:r>
            <w:proofErr w:type="spellStart"/>
            <w:r w:rsidRPr="00AC5A4A">
              <w:rPr>
                <w:rFonts w:ascii="Times New Roman" w:hAnsi="Times New Roman"/>
                <w:b/>
                <w:sz w:val="24"/>
                <w:szCs w:val="24"/>
                <w:lang w:val="es-ES"/>
              </w:rPr>
              <w:t>Féin</w:t>
            </w:r>
            <w:proofErr w:type="spellEnd"/>
            <w:r w:rsidRPr="00AC5A4A">
              <w:rPr>
                <w:rFonts w:ascii="Times New Roman" w:hAnsi="Times New Roman"/>
                <w:b/>
                <w:sz w:val="24"/>
                <w:szCs w:val="24"/>
                <w:lang w:val="es-ES"/>
              </w:rPr>
              <w:t>, Republican Clubs</w:t>
            </w:r>
          </w:p>
        </w:tc>
      </w:tr>
      <w:tr w:rsidR="0021746F" w:rsidRPr="006F2C26" w:rsidTr="00AC5A4A">
        <w:tc>
          <w:tcPr>
            <w:tcW w:w="4927" w:type="dxa"/>
          </w:tcPr>
          <w:p w:rsidR="0021746F" w:rsidRPr="00AC5A4A" w:rsidRDefault="0021746F" w:rsidP="00AC5A4A">
            <w:pPr>
              <w:spacing w:line="360" w:lineRule="auto"/>
              <w:rPr>
                <w:rFonts w:ascii="Times New Roman" w:hAnsi="Times New Roman"/>
                <w:sz w:val="24"/>
                <w:szCs w:val="24"/>
              </w:rPr>
            </w:pPr>
            <w:r w:rsidRPr="00AC5A4A">
              <w:rPr>
                <w:rFonts w:ascii="Times New Roman" w:hAnsi="Times New Roman"/>
                <w:sz w:val="24"/>
                <w:szCs w:val="24"/>
              </w:rPr>
              <w:t>Legal 1975 and 2003</w:t>
            </w:r>
          </w:p>
          <w:p w:rsidR="0021746F" w:rsidRPr="00AC5A4A" w:rsidRDefault="0021746F" w:rsidP="00AC5A4A">
            <w:pPr>
              <w:spacing w:line="360" w:lineRule="auto"/>
              <w:rPr>
                <w:rFonts w:ascii="Times New Roman" w:hAnsi="Times New Roman"/>
                <w:sz w:val="24"/>
                <w:szCs w:val="24"/>
              </w:rPr>
            </w:pPr>
            <w:r w:rsidRPr="00AC5A4A">
              <w:rPr>
                <w:rFonts w:ascii="Times New Roman" w:hAnsi="Times New Roman"/>
                <w:sz w:val="24"/>
                <w:szCs w:val="24"/>
              </w:rPr>
              <w:t xml:space="preserve">Initially paradigm of tolerance predominates, but later replaced by paradigm of intolerance </w:t>
            </w:r>
            <w:r>
              <w:rPr>
                <w:rFonts w:ascii="Times New Roman" w:hAnsi="Times New Roman"/>
                <w:sz w:val="24"/>
                <w:szCs w:val="24"/>
              </w:rPr>
              <w:t xml:space="preserve">in relation to </w:t>
            </w:r>
            <w:proofErr w:type="spellStart"/>
            <w:r w:rsidRPr="00BB1E85">
              <w:rPr>
                <w:rFonts w:ascii="Times New Roman" w:hAnsi="Times New Roman"/>
                <w:i/>
                <w:sz w:val="24"/>
                <w:szCs w:val="24"/>
              </w:rPr>
              <w:t>Herri</w:t>
            </w:r>
            <w:proofErr w:type="spellEnd"/>
            <w:r w:rsidRPr="00BB1E85">
              <w:rPr>
                <w:rFonts w:ascii="Times New Roman" w:hAnsi="Times New Roman"/>
                <w:i/>
                <w:sz w:val="24"/>
                <w:szCs w:val="24"/>
              </w:rPr>
              <w:t xml:space="preserve"> </w:t>
            </w:r>
            <w:proofErr w:type="spellStart"/>
            <w:r w:rsidRPr="00BB1E85">
              <w:rPr>
                <w:rFonts w:ascii="Times New Roman" w:hAnsi="Times New Roman"/>
                <w:i/>
                <w:sz w:val="24"/>
                <w:szCs w:val="24"/>
              </w:rPr>
              <w:t>Batasuna</w:t>
            </w:r>
            <w:proofErr w:type="spellEnd"/>
          </w:p>
        </w:tc>
        <w:tc>
          <w:tcPr>
            <w:tcW w:w="4927" w:type="dxa"/>
          </w:tcPr>
          <w:p w:rsidR="0021746F" w:rsidRPr="00AC5A4A" w:rsidRDefault="0021746F" w:rsidP="00AC5A4A">
            <w:pPr>
              <w:spacing w:line="360" w:lineRule="auto"/>
              <w:rPr>
                <w:rFonts w:ascii="Times New Roman" w:hAnsi="Times New Roman"/>
                <w:sz w:val="24"/>
                <w:szCs w:val="24"/>
              </w:rPr>
            </w:pPr>
            <w:r w:rsidRPr="00AC5A4A">
              <w:rPr>
                <w:rFonts w:ascii="Times New Roman" w:hAnsi="Times New Roman"/>
                <w:sz w:val="24"/>
                <w:szCs w:val="24"/>
              </w:rPr>
              <w:t>Illegal between 1956 and 1973-4</w:t>
            </w:r>
          </w:p>
          <w:p w:rsidR="0021746F" w:rsidRPr="00AC5A4A" w:rsidRDefault="0021746F" w:rsidP="00AC5A4A">
            <w:pPr>
              <w:spacing w:line="360" w:lineRule="auto"/>
              <w:rPr>
                <w:rFonts w:ascii="Times New Roman" w:hAnsi="Times New Roman"/>
                <w:sz w:val="24"/>
                <w:szCs w:val="24"/>
              </w:rPr>
            </w:pPr>
            <w:r w:rsidRPr="00AC5A4A">
              <w:rPr>
                <w:rFonts w:ascii="Times New Roman" w:hAnsi="Times New Roman"/>
                <w:sz w:val="24"/>
                <w:szCs w:val="24"/>
              </w:rPr>
              <w:t>Paradigm of intolerance predominates</w:t>
            </w:r>
          </w:p>
        </w:tc>
      </w:tr>
      <w:tr w:rsidR="0021746F" w:rsidRPr="006F2C26" w:rsidTr="00AC5A4A">
        <w:tc>
          <w:tcPr>
            <w:tcW w:w="4927" w:type="dxa"/>
          </w:tcPr>
          <w:p w:rsidR="0021746F" w:rsidRPr="00AC5A4A" w:rsidRDefault="0021746F" w:rsidP="00AC5A4A">
            <w:pPr>
              <w:spacing w:line="360" w:lineRule="auto"/>
              <w:rPr>
                <w:rFonts w:ascii="Times New Roman" w:hAnsi="Times New Roman"/>
                <w:sz w:val="24"/>
                <w:szCs w:val="24"/>
              </w:rPr>
            </w:pPr>
            <w:r w:rsidRPr="00AC5A4A">
              <w:rPr>
                <w:rFonts w:ascii="Times New Roman" w:hAnsi="Times New Roman"/>
                <w:sz w:val="24"/>
                <w:szCs w:val="24"/>
              </w:rPr>
              <w:t>Illegal 2003-2012</w:t>
            </w:r>
          </w:p>
          <w:p w:rsidR="0021746F" w:rsidRPr="00AC5A4A" w:rsidRDefault="0021746F" w:rsidP="00AC5A4A">
            <w:pPr>
              <w:spacing w:line="360" w:lineRule="auto"/>
              <w:rPr>
                <w:rFonts w:ascii="Times New Roman" w:hAnsi="Times New Roman"/>
                <w:sz w:val="24"/>
                <w:szCs w:val="24"/>
              </w:rPr>
            </w:pPr>
            <w:r w:rsidRPr="00AC5A4A">
              <w:rPr>
                <w:rFonts w:ascii="Times New Roman" w:hAnsi="Times New Roman"/>
                <w:sz w:val="24"/>
                <w:szCs w:val="24"/>
              </w:rPr>
              <w:t>Paradigm of intolerance predominates</w:t>
            </w:r>
          </w:p>
        </w:tc>
        <w:tc>
          <w:tcPr>
            <w:tcW w:w="4927" w:type="dxa"/>
          </w:tcPr>
          <w:p w:rsidR="0021746F" w:rsidRPr="00AC5A4A" w:rsidRDefault="0021746F" w:rsidP="00AC5A4A">
            <w:pPr>
              <w:spacing w:line="360" w:lineRule="auto"/>
              <w:rPr>
                <w:rFonts w:ascii="Times New Roman" w:hAnsi="Times New Roman"/>
                <w:sz w:val="24"/>
                <w:szCs w:val="24"/>
              </w:rPr>
            </w:pPr>
            <w:r w:rsidRPr="00AC5A4A">
              <w:rPr>
                <w:rFonts w:ascii="Times New Roman" w:hAnsi="Times New Roman"/>
                <w:sz w:val="24"/>
                <w:szCs w:val="24"/>
              </w:rPr>
              <w:t>Legal between 1973-4 onwards</w:t>
            </w:r>
          </w:p>
          <w:p w:rsidR="0021746F" w:rsidRPr="00AC5A4A" w:rsidRDefault="0021746F" w:rsidP="00AC5A4A">
            <w:pPr>
              <w:spacing w:line="360" w:lineRule="auto"/>
              <w:rPr>
                <w:rFonts w:ascii="Times New Roman" w:hAnsi="Times New Roman"/>
                <w:sz w:val="24"/>
                <w:szCs w:val="24"/>
              </w:rPr>
            </w:pPr>
            <w:r w:rsidRPr="00AC5A4A">
              <w:rPr>
                <w:rFonts w:ascii="Times New Roman" w:hAnsi="Times New Roman"/>
                <w:sz w:val="24"/>
                <w:szCs w:val="24"/>
              </w:rPr>
              <w:t>Paradigm of tolerance</w:t>
            </w:r>
          </w:p>
        </w:tc>
      </w:tr>
    </w:tbl>
    <w:p w:rsidR="0021746F" w:rsidRPr="006F2C26" w:rsidRDefault="0021746F" w:rsidP="00B8506C">
      <w:pPr>
        <w:spacing w:line="360" w:lineRule="auto"/>
        <w:rPr>
          <w:rFonts w:ascii="Times New Roman" w:hAnsi="Times New Roman"/>
          <w:sz w:val="24"/>
          <w:szCs w:val="24"/>
        </w:rPr>
      </w:pPr>
    </w:p>
    <w:p w:rsidR="0021746F" w:rsidRPr="00AD5118" w:rsidRDefault="0021746F" w:rsidP="00DC6CA1">
      <w:pPr>
        <w:pStyle w:val="ListParagraph"/>
        <w:ind w:left="0"/>
        <w:rPr>
          <w:rFonts w:ascii="Times New Roman" w:hAnsi="Times New Roman"/>
          <w:b/>
          <w:sz w:val="24"/>
          <w:szCs w:val="24"/>
          <w:lang w:val="en-US"/>
        </w:rPr>
      </w:pPr>
      <w:r w:rsidRPr="00AD5118">
        <w:rPr>
          <w:rFonts w:ascii="Times New Roman" w:hAnsi="Times New Roman"/>
          <w:b/>
          <w:sz w:val="24"/>
          <w:szCs w:val="24"/>
          <w:lang w:val="en-US"/>
        </w:rPr>
        <w:t>References</w:t>
      </w:r>
    </w:p>
    <w:p w:rsidR="0021746F" w:rsidRDefault="0021746F" w:rsidP="00121999">
      <w:pPr>
        <w:pStyle w:val="EndnoteText"/>
        <w:spacing w:line="276" w:lineRule="auto"/>
        <w:rPr>
          <w:rFonts w:ascii="Times New Roman" w:hAnsi="Times New Roman"/>
          <w:sz w:val="24"/>
          <w:szCs w:val="24"/>
        </w:rPr>
      </w:pPr>
      <w:proofErr w:type="spellStart"/>
      <w:r w:rsidRPr="00AD5118">
        <w:rPr>
          <w:rFonts w:ascii="Times New Roman" w:hAnsi="Times New Roman"/>
          <w:sz w:val="24"/>
          <w:szCs w:val="24"/>
          <w:lang w:val="en-US"/>
        </w:rPr>
        <w:t>Bew</w:t>
      </w:r>
      <w:proofErr w:type="spellEnd"/>
      <w:r w:rsidRPr="00AD5118">
        <w:rPr>
          <w:rFonts w:ascii="Times New Roman" w:hAnsi="Times New Roman"/>
          <w:sz w:val="24"/>
          <w:szCs w:val="24"/>
          <w:lang w:val="en-US"/>
        </w:rPr>
        <w:t xml:space="preserve">, John, </w:t>
      </w:r>
      <w:proofErr w:type="spellStart"/>
      <w:r w:rsidRPr="00AD5118">
        <w:rPr>
          <w:rFonts w:ascii="Times New Roman" w:hAnsi="Times New Roman"/>
          <w:sz w:val="24"/>
          <w:szCs w:val="24"/>
          <w:lang w:val="en-US"/>
        </w:rPr>
        <w:t>Martyn</w:t>
      </w:r>
      <w:proofErr w:type="spellEnd"/>
      <w:r w:rsidRPr="00AD5118">
        <w:rPr>
          <w:rFonts w:ascii="Times New Roman" w:hAnsi="Times New Roman"/>
          <w:sz w:val="24"/>
          <w:szCs w:val="24"/>
          <w:lang w:val="en-US"/>
        </w:rPr>
        <w:t xml:space="preserve"> Frampton and </w:t>
      </w:r>
      <w:proofErr w:type="spellStart"/>
      <w:r w:rsidRPr="00AD5118">
        <w:rPr>
          <w:rFonts w:ascii="Times New Roman" w:hAnsi="Times New Roman"/>
          <w:sz w:val="24"/>
          <w:szCs w:val="24"/>
          <w:lang w:val="en-US"/>
        </w:rPr>
        <w:t>Inigo</w:t>
      </w:r>
      <w:proofErr w:type="spellEnd"/>
      <w:r w:rsidRPr="00AD5118">
        <w:rPr>
          <w:rFonts w:ascii="Times New Roman" w:hAnsi="Times New Roman"/>
          <w:sz w:val="24"/>
          <w:szCs w:val="24"/>
          <w:lang w:val="en-US"/>
        </w:rPr>
        <w:t xml:space="preserve"> </w:t>
      </w:r>
      <w:proofErr w:type="spellStart"/>
      <w:r w:rsidRPr="00AD5118">
        <w:rPr>
          <w:rFonts w:ascii="Times New Roman" w:hAnsi="Times New Roman"/>
          <w:sz w:val="24"/>
          <w:szCs w:val="24"/>
          <w:lang w:val="en-US"/>
        </w:rPr>
        <w:t>Gurruchaga</w:t>
      </w:r>
      <w:proofErr w:type="spellEnd"/>
      <w:r w:rsidRPr="00AD5118">
        <w:rPr>
          <w:rFonts w:ascii="Times New Roman" w:hAnsi="Times New Roman"/>
          <w:sz w:val="24"/>
          <w:szCs w:val="24"/>
          <w:lang w:val="en-US"/>
        </w:rPr>
        <w:t xml:space="preserve"> (2009) </w:t>
      </w:r>
      <w:r w:rsidRPr="00AD5118">
        <w:rPr>
          <w:rFonts w:ascii="Times New Roman" w:hAnsi="Times New Roman"/>
          <w:i/>
          <w:sz w:val="24"/>
          <w:szCs w:val="24"/>
          <w:lang w:val="en-US"/>
        </w:rPr>
        <w:t>Talking to Terrorists</w:t>
      </w:r>
      <w:r w:rsidRPr="00AD5118">
        <w:rPr>
          <w:rFonts w:ascii="Times New Roman" w:hAnsi="Times New Roman"/>
          <w:sz w:val="24"/>
          <w:szCs w:val="24"/>
          <w:lang w:val="en-US"/>
        </w:rPr>
        <w:t>.</w:t>
      </w:r>
      <w:r w:rsidRPr="00AD5118">
        <w:rPr>
          <w:rFonts w:ascii="Times New Roman" w:hAnsi="Times New Roman"/>
          <w:i/>
          <w:sz w:val="24"/>
          <w:szCs w:val="24"/>
          <w:lang w:val="en-US"/>
        </w:rPr>
        <w:t xml:space="preserve"> </w:t>
      </w:r>
      <w:r w:rsidRPr="00AD5118">
        <w:rPr>
          <w:rFonts w:ascii="Times New Roman" w:hAnsi="Times New Roman"/>
          <w:sz w:val="24"/>
          <w:szCs w:val="24"/>
        </w:rPr>
        <w:t>New York: Columbia University Press.</w:t>
      </w:r>
    </w:p>
    <w:p w:rsidR="00121999" w:rsidRDefault="00121999" w:rsidP="00121999">
      <w:pPr>
        <w:autoSpaceDE w:val="0"/>
        <w:autoSpaceDN w:val="0"/>
        <w:adjustRightInd w:val="0"/>
        <w:spacing w:after="0"/>
        <w:rPr>
          <w:rFonts w:ascii="Times New Roman" w:hAnsi="Times New Roman"/>
          <w:sz w:val="24"/>
          <w:szCs w:val="24"/>
          <w:lang w:val="en-US"/>
        </w:rPr>
      </w:pPr>
    </w:p>
    <w:p w:rsidR="00121999" w:rsidRPr="00121999" w:rsidRDefault="0021746F" w:rsidP="00121999">
      <w:pPr>
        <w:autoSpaceDE w:val="0"/>
        <w:autoSpaceDN w:val="0"/>
        <w:adjustRightInd w:val="0"/>
        <w:spacing w:after="0"/>
        <w:rPr>
          <w:rFonts w:ascii="Times New Roman" w:hAnsi="Times New Roman"/>
          <w:color w:val="000000"/>
          <w:sz w:val="24"/>
          <w:szCs w:val="24"/>
          <w:lang w:eastAsia="en-GB"/>
        </w:rPr>
      </w:pPr>
      <w:r w:rsidRPr="00AD5118">
        <w:rPr>
          <w:rFonts w:ascii="Times New Roman" w:hAnsi="Times New Roman"/>
          <w:sz w:val="24"/>
          <w:szCs w:val="24"/>
          <w:lang w:val="en-US"/>
        </w:rPr>
        <w:t>Bourne</w:t>
      </w:r>
      <w:r w:rsidR="00121999">
        <w:rPr>
          <w:rFonts w:ascii="Times New Roman" w:hAnsi="Times New Roman"/>
          <w:sz w:val="24"/>
          <w:szCs w:val="24"/>
          <w:lang w:val="en-US"/>
        </w:rPr>
        <w:t>, A</w:t>
      </w:r>
      <w:r w:rsidRPr="00AD5118">
        <w:rPr>
          <w:rFonts w:ascii="Times New Roman" w:hAnsi="Times New Roman"/>
          <w:sz w:val="24"/>
          <w:szCs w:val="24"/>
          <w:lang w:val="en-US"/>
        </w:rPr>
        <w:t xml:space="preserve"> </w:t>
      </w:r>
      <w:r w:rsidR="00121999">
        <w:rPr>
          <w:rFonts w:ascii="Times New Roman" w:hAnsi="Times New Roman"/>
          <w:sz w:val="24"/>
          <w:szCs w:val="24"/>
          <w:lang w:val="en-US"/>
        </w:rPr>
        <w:t>(</w:t>
      </w:r>
      <w:r w:rsidRPr="00AD5118">
        <w:rPr>
          <w:rFonts w:ascii="Times New Roman" w:hAnsi="Times New Roman"/>
          <w:sz w:val="24"/>
          <w:szCs w:val="24"/>
          <w:lang w:val="en-US"/>
        </w:rPr>
        <w:t>2011a</w:t>
      </w:r>
      <w:r w:rsidR="00121999">
        <w:rPr>
          <w:rFonts w:ascii="Times New Roman" w:hAnsi="Times New Roman"/>
          <w:sz w:val="24"/>
          <w:szCs w:val="24"/>
          <w:lang w:val="en-US"/>
        </w:rPr>
        <w:t>)</w:t>
      </w:r>
      <w:r w:rsidRPr="00AD5118">
        <w:rPr>
          <w:rFonts w:ascii="Times New Roman" w:hAnsi="Times New Roman"/>
          <w:sz w:val="24"/>
          <w:szCs w:val="24"/>
          <w:lang w:val="en-US"/>
        </w:rPr>
        <w:t>,</w:t>
      </w:r>
      <w:r w:rsidRPr="00121999">
        <w:rPr>
          <w:rFonts w:ascii="Times New Roman" w:hAnsi="Times New Roman"/>
          <w:sz w:val="24"/>
          <w:szCs w:val="24"/>
          <w:lang w:val="en-US"/>
        </w:rPr>
        <w:t xml:space="preserve"> </w:t>
      </w:r>
      <w:r w:rsidR="00121999" w:rsidRPr="00121999">
        <w:rPr>
          <w:rFonts w:ascii="Times New Roman" w:hAnsi="Times New Roman"/>
          <w:color w:val="000000"/>
          <w:sz w:val="24"/>
          <w:szCs w:val="24"/>
          <w:lang w:eastAsia="en-GB"/>
        </w:rPr>
        <w:t>The proscription of parties and the problem with ‘militant</w:t>
      </w:r>
    </w:p>
    <w:p w:rsidR="0021746F" w:rsidRPr="00121999" w:rsidRDefault="00121999" w:rsidP="00121999">
      <w:pPr>
        <w:autoSpaceDE w:val="0"/>
        <w:autoSpaceDN w:val="0"/>
        <w:adjustRightInd w:val="0"/>
        <w:spacing w:after="0"/>
        <w:rPr>
          <w:rFonts w:ascii="Times New Roman" w:hAnsi="Times New Roman"/>
          <w:sz w:val="24"/>
          <w:szCs w:val="24"/>
          <w:lang w:val="en-US"/>
        </w:rPr>
      </w:pPr>
      <w:r w:rsidRPr="00121999">
        <w:rPr>
          <w:rFonts w:ascii="Times New Roman" w:hAnsi="Times New Roman"/>
          <w:color w:val="000000"/>
          <w:sz w:val="24"/>
          <w:szCs w:val="24"/>
          <w:lang w:eastAsia="en-GB"/>
        </w:rPr>
        <w:t>democracy’</w:t>
      </w:r>
      <w:r>
        <w:rPr>
          <w:rFonts w:ascii="Times New Roman" w:hAnsi="Times New Roman"/>
          <w:color w:val="000000"/>
          <w:sz w:val="24"/>
          <w:szCs w:val="24"/>
          <w:lang w:eastAsia="en-GB"/>
        </w:rPr>
        <w:t xml:space="preserve">, Centre for the Study of European Political Parties, </w:t>
      </w:r>
      <w:r w:rsidRPr="00121999">
        <w:rPr>
          <w:rFonts w:ascii="Times New Roman" w:hAnsi="Times New Roman"/>
          <w:color w:val="000000"/>
          <w:sz w:val="24"/>
          <w:szCs w:val="24"/>
          <w:lang w:eastAsia="en-GB"/>
        </w:rPr>
        <w:t>Online Working Paper Series, NO. 3/2011(</w:t>
      </w:r>
      <w:r w:rsidRPr="00121999">
        <w:rPr>
          <w:rFonts w:ascii="Times New Roman" w:hAnsi="Times New Roman"/>
          <w:color w:val="0000FF"/>
          <w:sz w:val="24"/>
          <w:szCs w:val="24"/>
          <w:lang w:eastAsia="en-GB"/>
        </w:rPr>
        <w:t>www.dundee.ac.uk/politics/research/csepp/</w:t>
      </w:r>
      <w:r w:rsidRPr="00121999">
        <w:rPr>
          <w:rFonts w:ascii="Times New Roman" w:hAnsi="Times New Roman"/>
          <w:color w:val="000000"/>
          <w:sz w:val="24"/>
          <w:szCs w:val="24"/>
          <w:lang w:eastAsia="en-GB"/>
        </w:rPr>
        <w:t>)</w:t>
      </w:r>
    </w:p>
    <w:p w:rsidR="00121999" w:rsidRDefault="00121999" w:rsidP="00121999">
      <w:pPr>
        <w:spacing w:after="0"/>
        <w:rPr>
          <w:rFonts w:ascii="Times New Roman" w:hAnsi="Times New Roman"/>
          <w:sz w:val="24"/>
          <w:szCs w:val="24"/>
          <w:lang w:val="en-US"/>
        </w:rPr>
      </w:pPr>
    </w:p>
    <w:p w:rsidR="00121999" w:rsidRPr="00121999" w:rsidRDefault="0021746F" w:rsidP="00121999">
      <w:pPr>
        <w:spacing w:after="0"/>
        <w:rPr>
          <w:rFonts w:ascii="Times New Roman" w:hAnsi="Times New Roman"/>
          <w:sz w:val="24"/>
          <w:szCs w:val="24"/>
        </w:rPr>
      </w:pPr>
      <w:r w:rsidRPr="00AD5118">
        <w:rPr>
          <w:rFonts w:ascii="Times New Roman" w:hAnsi="Times New Roman"/>
          <w:sz w:val="24"/>
          <w:szCs w:val="24"/>
          <w:lang w:val="en-US"/>
        </w:rPr>
        <w:t>Bourne</w:t>
      </w:r>
      <w:r w:rsidR="00121999">
        <w:rPr>
          <w:rFonts w:ascii="Times New Roman" w:hAnsi="Times New Roman"/>
          <w:sz w:val="24"/>
          <w:szCs w:val="24"/>
          <w:lang w:val="en-US"/>
        </w:rPr>
        <w:t>, A (</w:t>
      </w:r>
      <w:r w:rsidRPr="00AD5118">
        <w:rPr>
          <w:rFonts w:ascii="Times New Roman" w:hAnsi="Times New Roman"/>
          <w:sz w:val="24"/>
          <w:szCs w:val="24"/>
          <w:lang w:val="en-US"/>
        </w:rPr>
        <w:t>2011b</w:t>
      </w:r>
      <w:r w:rsidR="00121999">
        <w:rPr>
          <w:rFonts w:ascii="Times New Roman" w:hAnsi="Times New Roman"/>
          <w:sz w:val="24"/>
          <w:szCs w:val="24"/>
          <w:lang w:val="en-US"/>
        </w:rPr>
        <w:t>)</w:t>
      </w:r>
      <w:r w:rsidRPr="00AD5118">
        <w:rPr>
          <w:rFonts w:ascii="Times New Roman" w:hAnsi="Times New Roman"/>
          <w:sz w:val="24"/>
          <w:szCs w:val="24"/>
          <w:lang w:val="en-US"/>
        </w:rPr>
        <w:t xml:space="preserve">, </w:t>
      </w:r>
      <w:r w:rsidR="00121999">
        <w:rPr>
          <w:rFonts w:ascii="Times New Roman" w:hAnsi="Times New Roman"/>
          <w:sz w:val="24"/>
          <w:szCs w:val="24"/>
          <w:lang w:val="en-US"/>
        </w:rPr>
        <w:t xml:space="preserve">Why Ban </w:t>
      </w:r>
      <w:proofErr w:type="spellStart"/>
      <w:r w:rsidR="00121999">
        <w:rPr>
          <w:rFonts w:ascii="Times New Roman" w:hAnsi="Times New Roman"/>
          <w:sz w:val="24"/>
          <w:szCs w:val="24"/>
          <w:lang w:val="en-US"/>
        </w:rPr>
        <w:t>Batasuna</w:t>
      </w:r>
      <w:proofErr w:type="spellEnd"/>
      <w:r w:rsidR="00121999">
        <w:rPr>
          <w:rFonts w:ascii="Times New Roman" w:hAnsi="Times New Roman"/>
          <w:sz w:val="24"/>
          <w:szCs w:val="24"/>
          <w:lang w:val="en-US"/>
        </w:rPr>
        <w:t xml:space="preserve">? </w:t>
      </w:r>
      <w:r w:rsidR="00121999" w:rsidRPr="00121999">
        <w:rPr>
          <w:rFonts w:ascii="Times New Roman" w:hAnsi="Times New Roman"/>
          <w:sz w:val="24"/>
          <w:szCs w:val="24"/>
          <w:lang w:val="en-US"/>
        </w:rPr>
        <w:t xml:space="preserve">Paper presented at </w:t>
      </w:r>
      <w:r w:rsidR="00121999" w:rsidRPr="00121999">
        <w:rPr>
          <w:rFonts w:ascii="Times New Roman" w:hAnsi="Times New Roman"/>
          <w:sz w:val="24"/>
          <w:szCs w:val="24"/>
        </w:rPr>
        <w:t>Elections, Public Opinion and Parties Annual Conference University of Exeter, 9-11 September 2011</w:t>
      </w:r>
    </w:p>
    <w:p w:rsidR="00121999" w:rsidRDefault="00121999" w:rsidP="00121999">
      <w:pPr>
        <w:autoSpaceDE w:val="0"/>
        <w:autoSpaceDN w:val="0"/>
        <w:adjustRightInd w:val="0"/>
        <w:spacing w:after="0"/>
        <w:rPr>
          <w:rFonts w:ascii="Times New Roman" w:hAnsi="Times New Roman"/>
          <w:sz w:val="24"/>
          <w:szCs w:val="24"/>
          <w:lang w:val="en-US"/>
        </w:rPr>
      </w:pPr>
    </w:p>
    <w:p w:rsidR="0021746F" w:rsidRPr="00AD5118" w:rsidRDefault="0021746F" w:rsidP="00121999">
      <w:pPr>
        <w:autoSpaceDE w:val="0"/>
        <w:autoSpaceDN w:val="0"/>
        <w:adjustRightInd w:val="0"/>
        <w:spacing w:after="0"/>
        <w:rPr>
          <w:rFonts w:ascii="Times New Roman" w:hAnsi="Times New Roman"/>
          <w:b/>
          <w:sz w:val="24"/>
          <w:szCs w:val="24"/>
          <w:lang w:val="en-US"/>
        </w:rPr>
      </w:pPr>
      <w:r w:rsidRPr="00AD5118">
        <w:rPr>
          <w:rFonts w:ascii="Times New Roman" w:hAnsi="Times New Roman"/>
          <w:sz w:val="24"/>
          <w:szCs w:val="24"/>
          <w:lang w:val="en-US"/>
        </w:rPr>
        <w:t xml:space="preserve">Bourne, A (2012) </w:t>
      </w:r>
      <w:r w:rsidRPr="00AD5118">
        <w:rPr>
          <w:rFonts w:ascii="Times New Roman" w:hAnsi="Times New Roman"/>
          <w:sz w:val="24"/>
          <w:szCs w:val="24"/>
          <w:lang w:eastAsia="en-GB"/>
        </w:rPr>
        <w:t xml:space="preserve">Democratization and the illegalization of political parties in Europe, Democratization, </w:t>
      </w:r>
      <w:r w:rsidR="00121999" w:rsidRPr="00121999">
        <w:rPr>
          <w:rFonts w:ascii="Times New Roman" w:hAnsi="Times New Roman"/>
          <w:sz w:val="24"/>
          <w:szCs w:val="24"/>
          <w:lang w:eastAsia="en-GB"/>
        </w:rPr>
        <w:t>19</w:t>
      </w:r>
      <w:r w:rsidRPr="00121999">
        <w:rPr>
          <w:rFonts w:ascii="Times New Roman" w:hAnsi="Times New Roman"/>
          <w:sz w:val="24"/>
          <w:szCs w:val="24"/>
          <w:lang w:eastAsia="en-GB"/>
        </w:rPr>
        <w:t>:1</w:t>
      </w:r>
      <w:r w:rsidRPr="00AD5118">
        <w:rPr>
          <w:rFonts w:ascii="Times New Roman" w:hAnsi="Times New Roman"/>
          <w:sz w:val="24"/>
          <w:szCs w:val="24"/>
          <w:lang w:eastAsia="en-GB"/>
        </w:rPr>
        <w:t>, 1-21</w:t>
      </w:r>
    </w:p>
    <w:p w:rsidR="00121999" w:rsidRDefault="00121999" w:rsidP="00121999">
      <w:pPr>
        <w:pStyle w:val="EndnoteText"/>
        <w:spacing w:line="276" w:lineRule="auto"/>
        <w:rPr>
          <w:rFonts w:ascii="Times New Roman" w:hAnsi="Times New Roman"/>
          <w:sz w:val="24"/>
          <w:szCs w:val="24"/>
        </w:rPr>
      </w:pPr>
    </w:p>
    <w:p w:rsidR="0021746F" w:rsidRPr="00FA62D0" w:rsidRDefault="0021746F" w:rsidP="00121999">
      <w:pPr>
        <w:pStyle w:val="EndnoteText"/>
        <w:spacing w:line="276" w:lineRule="auto"/>
        <w:rPr>
          <w:rFonts w:ascii="Times New Roman" w:hAnsi="Times New Roman"/>
          <w:sz w:val="24"/>
          <w:szCs w:val="24"/>
        </w:rPr>
      </w:pPr>
      <w:r w:rsidRPr="00AD5118">
        <w:rPr>
          <w:rFonts w:ascii="Times New Roman" w:hAnsi="Times New Roman"/>
          <w:sz w:val="24"/>
          <w:szCs w:val="24"/>
        </w:rPr>
        <w:t xml:space="preserve">Bowyer Bell, </w:t>
      </w:r>
      <w:r w:rsidR="00FA62D0">
        <w:rPr>
          <w:rFonts w:ascii="Times New Roman" w:hAnsi="Times New Roman"/>
          <w:sz w:val="24"/>
          <w:szCs w:val="24"/>
        </w:rPr>
        <w:t>J (</w:t>
      </w:r>
      <w:r w:rsidRPr="00AD5118">
        <w:rPr>
          <w:rFonts w:ascii="Times New Roman" w:hAnsi="Times New Roman"/>
          <w:sz w:val="24"/>
          <w:szCs w:val="24"/>
        </w:rPr>
        <w:t>1979</w:t>
      </w:r>
      <w:r w:rsidR="00FA62D0">
        <w:rPr>
          <w:rFonts w:ascii="Times New Roman" w:hAnsi="Times New Roman"/>
          <w:sz w:val="24"/>
          <w:szCs w:val="24"/>
        </w:rPr>
        <w:t xml:space="preserve">) </w:t>
      </w:r>
      <w:r w:rsidR="00FA62D0">
        <w:rPr>
          <w:rFonts w:ascii="Times New Roman" w:hAnsi="Times New Roman"/>
          <w:i/>
          <w:sz w:val="24"/>
          <w:szCs w:val="24"/>
        </w:rPr>
        <w:t xml:space="preserve">The Secret Army </w:t>
      </w:r>
      <w:r w:rsidR="00FA62D0">
        <w:rPr>
          <w:rFonts w:ascii="Times New Roman" w:hAnsi="Times New Roman"/>
          <w:sz w:val="24"/>
          <w:szCs w:val="24"/>
        </w:rPr>
        <w:t>(Dublin: Academy Press)</w:t>
      </w:r>
    </w:p>
    <w:p w:rsidR="0021746F" w:rsidRPr="00AD5118" w:rsidRDefault="0021746F" w:rsidP="00121999">
      <w:pPr>
        <w:spacing w:after="0"/>
        <w:rPr>
          <w:rFonts w:ascii="Times New Roman" w:hAnsi="Times New Roman"/>
          <w:sz w:val="24"/>
          <w:szCs w:val="24"/>
        </w:rPr>
      </w:pPr>
      <w:r w:rsidRPr="00AD5118">
        <w:rPr>
          <w:rFonts w:ascii="Times New Roman" w:hAnsi="Times New Roman"/>
          <w:sz w:val="24"/>
          <w:szCs w:val="24"/>
        </w:rPr>
        <w:t xml:space="preserve">Campbell, </w:t>
      </w:r>
      <w:proofErr w:type="spellStart"/>
      <w:r w:rsidRPr="00AD5118">
        <w:rPr>
          <w:rFonts w:ascii="Times New Roman" w:hAnsi="Times New Roman"/>
          <w:sz w:val="24"/>
          <w:szCs w:val="24"/>
        </w:rPr>
        <w:t>Colm</w:t>
      </w:r>
      <w:proofErr w:type="spellEnd"/>
      <w:r w:rsidRPr="00AD5118">
        <w:rPr>
          <w:rFonts w:ascii="Times New Roman" w:hAnsi="Times New Roman"/>
          <w:sz w:val="24"/>
          <w:szCs w:val="24"/>
        </w:rPr>
        <w:t xml:space="preserve"> (1994) </w:t>
      </w:r>
      <w:r w:rsidRPr="00FA62D0">
        <w:rPr>
          <w:rFonts w:ascii="Times New Roman" w:hAnsi="Times New Roman"/>
          <w:i/>
          <w:sz w:val="24"/>
          <w:szCs w:val="24"/>
        </w:rPr>
        <w:t>Emergency Law in Ireland 1918-1925</w:t>
      </w:r>
      <w:r w:rsidRPr="00AD5118">
        <w:rPr>
          <w:rFonts w:ascii="Times New Roman" w:hAnsi="Times New Roman"/>
          <w:sz w:val="24"/>
          <w:szCs w:val="24"/>
        </w:rPr>
        <w:t xml:space="preserve"> (</w:t>
      </w:r>
      <w:r w:rsidR="00FA62D0">
        <w:rPr>
          <w:rFonts w:ascii="Times New Roman" w:hAnsi="Times New Roman"/>
          <w:sz w:val="24"/>
          <w:szCs w:val="24"/>
        </w:rPr>
        <w:t>O</w:t>
      </w:r>
      <w:r w:rsidRPr="00AD5118">
        <w:rPr>
          <w:rFonts w:ascii="Times New Roman" w:hAnsi="Times New Roman"/>
          <w:sz w:val="24"/>
          <w:szCs w:val="24"/>
        </w:rPr>
        <w:t>xford: Clarendon Press)</w:t>
      </w:r>
    </w:p>
    <w:p w:rsidR="00121999" w:rsidRDefault="00121999" w:rsidP="00121999">
      <w:pPr>
        <w:pStyle w:val="EndnoteText"/>
        <w:spacing w:line="276" w:lineRule="auto"/>
        <w:rPr>
          <w:rFonts w:ascii="Times New Roman" w:hAnsi="Times New Roman"/>
          <w:sz w:val="24"/>
          <w:szCs w:val="24"/>
        </w:rPr>
      </w:pPr>
    </w:p>
    <w:p w:rsidR="0021746F" w:rsidRPr="00FA62D0" w:rsidRDefault="0021746F" w:rsidP="00121999">
      <w:pPr>
        <w:pStyle w:val="EndnoteText"/>
        <w:spacing w:line="276" w:lineRule="auto"/>
        <w:rPr>
          <w:rFonts w:ascii="Times New Roman" w:hAnsi="Times New Roman"/>
          <w:sz w:val="24"/>
          <w:szCs w:val="24"/>
        </w:rPr>
      </w:pPr>
      <w:proofErr w:type="spellStart"/>
      <w:r w:rsidRPr="00AD5118">
        <w:rPr>
          <w:rFonts w:ascii="Times New Roman" w:hAnsi="Times New Roman"/>
          <w:sz w:val="24"/>
          <w:szCs w:val="24"/>
        </w:rPr>
        <w:t>Coogan</w:t>
      </w:r>
      <w:proofErr w:type="spellEnd"/>
      <w:r w:rsidRPr="00AD5118">
        <w:rPr>
          <w:rFonts w:ascii="Times New Roman" w:hAnsi="Times New Roman"/>
          <w:sz w:val="24"/>
          <w:szCs w:val="24"/>
        </w:rPr>
        <w:t xml:space="preserve">, </w:t>
      </w:r>
      <w:r w:rsidR="00FA62D0">
        <w:rPr>
          <w:rFonts w:ascii="Times New Roman" w:hAnsi="Times New Roman"/>
          <w:sz w:val="24"/>
          <w:szCs w:val="24"/>
        </w:rPr>
        <w:t xml:space="preserve">T. P (2000) </w:t>
      </w:r>
      <w:r w:rsidR="00FA62D0">
        <w:rPr>
          <w:rFonts w:ascii="Times New Roman" w:hAnsi="Times New Roman"/>
          <w:i/>
          <w:sz w:val="24"/>
          <w:szCs w:val="24"/>
        </w:rPr>
        <w:t xml:space="preserve">The IRA </w:t>
      </w:r>
      <w:r w:rsidR="00FA62D0">
        <w:rPr>
          <w:rFonts w:ascii="Times New Roman" w:hAnsi="Times New Roman"/>
          <w:sz w:val="24"/>
          <w:szCs w:val="24"/>
        </w:rPr>
        <w:t>(Palgrave: New York)</w:t>
      </w:r>
    </w:p>
    <w:p w:rsidR="0021746F" w:rsidRPr="00AD5118" w:rsidRDefault="0021746F" w:rsidP="00121999">
      <w:pPr>
        <w:spacing w:after="0"/>
        <w:rPr>
          <w:rFonts w:ascii="Times New Roman" w:hAnsi="Times New Roman"/>
          <w:sz w:val="24"/>
          <w:szCs w:val="24"/>
        </w:rPr>
      </w:pPr>
      <w:r w:rsidRPr="00AD5118">
        <w:rPr>
          <w:rFonts w:ascii="Times New Roman" w:hAnsi="Times New Roman"/>
          <w:sz w:val="24"/>
          <w:szCs w:val="24"/>
        </w:rPr>
        <w:t>Cunningham, Michael (2001) British Government Policy in Northern Ireland 1969-2000 (Manchester UP)</w:t>
      </w:r>
    </w:p>
    <w:p w:rsidR="00121999" w:rsidRDefault="00121999" w:rsidP="00121999">
      <w:pPr>
        <w:pStyle w:val="EndnoteText"/>
        <w:spacing w:line="276" w:lineRule="auto"/>
        <w:rPr>
          <w:rFonts w:ascii="Times New Roman" w:hAnsi="Times New Roman"/>
          <w:sz w:val="24"/>
          <w:szCs w:val="24"/>
        </w:rPr>
      </w:pPr>
    </w:p>
    <w:p w:rsidR="0021746F" w:rsidRPr="00AD5118" w:rsidRDefault="0021746F" w:rsidP="00121999">
      <w:pPr>
        <w:pStyle w:val="EndnoteText"/>
        <w:spacing w:line="276" w:lineRule="auto"/>
        <w:rPr>
          <w:rFonts w:ascii="Times New Roman" w:hAnsi="Times New Roman"/>
          <w:sz w:val="24"/>
          <w:szCs w:val="24"/>
        </w:rPr>
      </w:pPr>
      <w:proofErr w:type="spellStart"/>
      <w:r w:rsidRPr="00AD5118">
        <w:rPr>
          <w:rFonts w:ascii="Times New Roman" w:hAnsi="Times New Roman"/>
          <w:sz w:val="24"/>
          <w:szCs w:val="24"/>
        </w:rPr>
        <w:t>Degenhardt</w:t>
      </w:r>
      <w:proofErr w:type="spellEnd"/>
      <w:r w:rsidRPr="00AD5118">
        <w:rPr>
          <w:rFonts w:ascii="Times New Roman" w:hAnsi="Times New Roman"/>
          <w:sz w:val="24"/>
          <w:szCs w:val="24"/>
        </w:rPr>
        <w:t xml:space="preserve">, Henry W (1983) </w:t>
      </w:r>
      <w:r w:rsidRPr="00AD5118">
        <w:rPr>
          <w:rFonts w:ascii="Times New Roman" w:hAnsi="Times New Roman"/>
          <w:i/>
          <w:sz w:val="24"/>
          <w:szCs w:val="24"/>
        </w:rPr>
        <w:t>Political Dissent</w:t>
      </w:r>
      <w:r w:rsidRPr="00AD5118">
        <w:rPr>
          <w:rFonts w:ascii="Times New Roman" w:hAnsi="Times New Roman"/>
          <w:sz w:val="24"/>
          <w:szCs w:val="24"/>
        </w:rPr>
        <w:t>. London: Longman.</w:t>
      </w:r>
    </w:p>
    <w:p w:rsidR="00121999" w:rsidRPr="00033297" w:rsidRDefault="00121999" w:rsidP="00121999">
      <w:pPr>
        <w:spacing w:after="0"/>
        <w:jc w:val="both"/>
        <w:rPr>
          <w:rFonts w:ascii="Times New Roman" w:hAnsi="Times New Roman"/>
          <w:sz w:val="24"/>
          <w:szCs w:val="24"/>
        </w:rPr>
      </w:pPr>
    </w:p>
    <w:p w:rsidR="00121999" w:rsidRPr="00FA62D0" w:rsidRDefault="00121999" w:rsidP="00121999">
      <w:pPr>
        <w:spacing w:after="0"/>
        <w:rPr>
          <w:rFonts w:ascii="Times New Roman" w:hAnsi="Times New Roman"/>
          <w:sz w:val="24"/>
          <w:szCs w:val="24"/>
          <w:lang w:val="es-ES"/>
        </w:rPr>
      </w:pPr>
      <w:r w:rsidRPr="00FA62D0">
        <w:rPr>
          <w:rFonts w:ascii="Times New Roman" w:hAnsi="Times New Roman"/>
          <w:sz w:val="24"/>
          <w:szCs w:val="24"/>
          <w:lang w:val="es-ES"/>
        </w:rPr>
        <w:t xml:space="preserve">Domínguez, Florencio (2012) </w:t>
      </w:r>
      <w:r w:rsidRPr="00FA62D0">
        <w:rPr>
          <w:rFonts w:ascii="Times New Roman" w:hAnsi="Times New Roman"/>
          <w:i/>
          <w:sz w:val="24"/>
          <w:szCs w:val="24"/>
          <w:lang w:val="es-ES"/>
        </w:rPr>
        <w:t>La Agonía de ETA</w:t>
      </w:r>
      <w:r w:rsidRPr="00FA62D0">
        <w:rPr>
          <w:rFonts w:ascii="Times New Roman" w:hAnsi="Times New Roman"/>
          <w:sz w:val="24"/>
          <w:szCs w:val="24"/>
          <w:lang w:val="es-ES"/>
        </w:rPr>
        <w:t xml:space="preserve"> (Madrid: La Esfera de los Libros)</w:t>
      </w:r>
    </w:p>
    <w:p w:rsidR="00121999" w:rsidRDefault="00121999" w:rsidP="00121999">
      <w:pPr>
        <w:spacing w:after="0"/>
        <w:jc w:val="both"/>
        <w:rPr>
          <w:rFonts w:ascii="Times New Roman" w:hAnsi="Times New Roman"/>
          <w:sz w:val="24"/>
          <w:szCs w:val="24"/>
          <w:lang w:val="es-ES"/>
        </w:rPr>
      </w:pPr>
    </w:p>
    <w:p w:rsidR="0021746F" w:rsidRPr="00AD5118" w:rsidRDefault="0021746F" w:rsidP="00121999">
      <w:pPr>
        <w:spacing w:after="0"/>
        <w:jc w:val="both"/>
        <w:rPr>
          <w:rFonts w:ascii="Times New Roman" w:hAnsi="Times New Roman"/>
          <w:sz w:val="24"/>
          <w:szCs w:val="24"/>
        </w:rPr>
      </w:pPr>
      <w:r w:rsidRPr="00013600">
        <w:rPr>
          <w:rFonts w:ascii="Times New Roman" w:hAnsi="Times New Roman"/>
          <w:sz w:val="24"/>
          <w:szCs w:val="24"/>
          <w:lang w:val="es-ES"/>
        </w:rPr>
        <w:lastRenderedPageBreak/>
        <w:t>Domínguez, Florencio (2006) ‘El Enfrentamiento de ETA con la Democracia’, in Antonio Elorza (</w:t>
      </w:r>
      <w:proofErr w:type="spellStart"/>
      <w:r w:rsidRPr="00013600">
        <w:rPr>
          <w:rFonts w:ascii="Times New Roman" w:hAnsi="Times New Roman"/>
          <w:sz w:val="24"/>
          <w:szCs w:val="24"/>
          <w:lang w:val="es-ES"/>
        </w:rPr>
        <w:t>ed</w:t>
      </w:r>
      <w:proofErr w:type="spellEnd"/>
      <w:r w:rsidRPr="00013600">
        <w:rPr>
          <w:rFonts w:ascii="Times New Roman" w:hAnsi="Times New Roman"/>
          <w:sz w:val="24"/>
          <w:szCs w:val="24"/>
          <w:lang w:val="es-ES"/>
        </w:rPr>
        <w:t xml:space="preserve">) </w:t>
      </w:r>
      <w:r w:rsidRPr="00013600">
        <w:rPr>
          <w:rFonts w:ascii="Times New Roman" w:hAnsi="Times New Roman"/>
          <w:i/>
          <w:sz w:val="24"/>
          <w:szCs w:val="24"/>
          <w:lang w:val="es-ES"/>
        </w:rPr>
        <w:t>La Historia de ETA</w:t>
      </w:r>
      <w:r w:rsidRPr="00013600">
        <w:rPr>
          <w:rFonts w:ascii="Times New Roman" w:hAnsi="Times New Roman"/>
          <w:sz w:val="24"/>
          <w:szCs w:val="24"/>
          <w:lang w:val="es-ES"/>
        </w:rPr>
        <w:t xml:space="preserve">, pp. 273-372. </w:t>
      </w:r>
      <w:r w:rsidRPr="00AD5118">
        <w:rPr>
          <w:rFonts w:ascii="Times New Roman" w:hAnsi="Times New Roman"/>
          <w:sz w:val="24"/>
          <w:szCs w:val="24"/>
        </w:rPr>
        <w:t xml:space="preserve">Madrid: </w:t>
      </w:r>
      <w:proofErr w:type="spellStart"/>
      <w:r w:rsidRPr="00AD5118">
        <w:rPr>
          <w:rFonts w:ascii="Times New Roman" w:hAnsi="Times New Roman"/>
          <w:sz w:val="24"/>
          <w:szCs w:val="24"/>
        </w:rPr>
        <w:t>Temas</w:t>
      </w:r>
      <w:proofErr w:type="spellEnd"/>
      <w:r w:rsidRPr="00AD5118">
        <w:rPr>
          <w:rFonts w:ascii="Times New Roman" w:hAnsi="Times New Roman"/>
          <w:sz w:val="24"/>
          <w:szCs w:val="24"/>
        </w:rPr>
        <w:t xml:space="preserve"> de Hoy</w:t>
      </w:r>
    </w:p>
    <w:p w:rsidR="00121999" w:rsidRDefault="00121999" w:rsidP="00121999">
      <w:pPr>
        <w:spacing w:after="0"/>
        <w:rPr>
          <w:rFonts w:ascii="Times New Roman" w:hAnsi="Times New Roman"/>
          <w:sz w:val="24"/>
          <w:szCs w:val="24"/>
        </w:rPr>
      </w:pPr>
    </w:p>
    <w:p w:rsidR="0021746F" w:rsidRPr="00AD5118" w:rsidRDefault="0021746F" w:rsidP="00121999">
      <w:pPr>
        <w:spacing w:after="0"/>
        <w:rPr>
          <w:rFonts w:ascii="Times New Roman" w:hAnsi="Times New Roman"/>
          <w:sz w:val="24"/>
          <w:szCs w:val="24"/>
          <w:lang w:eastAsia="en-GB"/>
        </w:rPr>
      </w:pPr>
      <w:r w:rsidRPr="00AD5118">
        <w:rPr>
          <w:rFonts w:ascii="Times New Roman" w:hAnsi="Times New Roman"/>
          <w:sz w:val="24"/>
          <w:szCs w:val="24"/>
        </w:rPr>
        <w:t xml:space="preserve">Donohue, Laura K. (1998) ‘Regulating Northern Ireland: The Special Powers Act 1922-1972’, </w:t>
      </w:r>
      <w:r w:rsidRPr="00AD5118">
        <w:rPr>
          <w:rFonts w:ascii="Times New Roman" w:hAnsi="Times New Roman"/>
          <w:i/>
          <w:iCs/>
          <w:sz w:val="24"/>
          <w:szCs w:val="24"/>
          <w:lang w:eastAsia="en-GB"/>
        </w:rPr>
        <w:t>The Historical Journal</w:t>
      </w:r>
      <w:r w:rsidRPr="00AD5118">
        <w:rPr>
          <w:rFonts w:ascii="Times New Roman" w:hAnsi="Times New Roman"/>
          <w:sz w:val="24"/>
          <w:szCs w:val="24"/>
          <w:lang w:eastAsia="en-GB"/>
        </w:rPr>
        <w:t>, 41:4, pp. 1089-1120.</w:t>
      </w:r>
    </w:p>
    <w:p w:rsidR="00121999" w:rsidRDefault="00121999" w:rsidP="00121999">
      <w:pPr>
        <w:spacing w:after="0"/>
        <w:rPr>
          <w:rFonts w:ascii="Times New Roman" w:hAnsi="Times New Roman"/>
          <w:sz w:val="24"/>
          <w:szCs w:val="24"/>
        </w:rPr>
      </w:pPr>
    </w:p>
    <w:p w:rsidR="0021746F" w:rsidRPr="00AD5118" w:rsidRDefault="0021746F" w:rsidP="00121999">
      <w:pPr>
        <w:spacing w:after="0"/>
        <w:rPr>
          <w:rFonts w:ascii="Times New Roman" w:hAnsi="Times New Roman"/>
          <w:sz w:val="24"/>
          <w:szCs w:val="24"/>
        </w:rPr>
      </w:pPr>
      <w:r w:rsidRPr="00AD5118">
        <w:rPr>
          <w:rFonts w:ascii="Times New Roman" w:hAnsi="Times New Roman"/>
          <w:sz w:val="24"/>
          <w:szCs w:val="24"/>
        </w:rPr>
        <w:t>English, Richard (2003) Armed Struggle: The History of the IRA (Macmillan, Basingstoke)</w:t>
      </w:r>
    </w:p>
    <w:p w:rsidR="00121999" w:rsidRPr="00033297" w:rsidRDefault="00121999" w:rsidP="00121999">
      <w:pPr>
        <w:spacing w:after="0"/>
        <w:rPr>
          <w:rFonts w:ascii="Times New Roman" w:hAnsi="Times New Roman"/>
          <w:sz w:val="24"/>
          <w:szCs w:val="24"/>
        </w:rPr>
      </w:pPr>
    </w:p>
    <w:p w:rsidR="0021746F" w:rsidRPr="00AD5118" w:rsidRDefault="0021746F" w:rsidP="00121999">
      <w:pPr>
        <w:spacing w:after="0"/>
        <w:rPr>
          <w:rFonts w:ascii="Times New Roman" w:hAnsi="Times New Roman"/>
          <w:sz w:val="24"/>
          <w:szCs w:val="24"/>
        </w:rPr>
      </w:pPr>
      <w:r w:rsidRPr="00013600">
        <w:rPr>
          <w:rFonts w:ascii="Times New Roman" w:hAnsi="Times New Roman"/>
          <w:sz w:val="24"/>
          <w:szCs w:val="24"/>
          <w:lang w:val="es-ES"/>
        </w:rPr>
        <w:t xml:space="preserve">Esparza, Miguel (2004) </w:t>
      </w:r>
      <w:r w:rsidRPr="00013600">
        <w:rPr>
          <w:rFonts w:ascii="Times New Roman" w:hAnsi="Times New Roman"/>
          <w:i/>
          <w:sz w:val="24"/>
          <w:szCs w:val="24"/>
          <w:lang w:val="es-ES"/>
        </w:rPr>
        <w:t>La ilegalización de Batasuna</w:t>
      </w:r>
      <w:r w:rsidRPr="00013600">
        <w:rPr>
          <w:rFonts w:ascii="Times New Roman" w:hAnsi="Times New Roman"/>
          <w:sz w:val="24"/>
          <w:szCs w:val="24"/>
          <w:lang w:val="es-ES"/>
        </w:rPr>
        <w:t xml:space="preserve">. </w:t>
      </w:r>
      <w:r w:rsidRPr="00AD5118">
        <w:rPr>
          <w:rFonts w:ascii="Times New Roman" w:hAnsi="Times New Roman"/>
          <w:sz w:val="24"/>
          <w:szCs w:val="24"/>
        </w:rPr>
        <w:t xml:space="preserve">Navarra: </w:t>
      </w:r>
      <w:proofErr w:type="spellStart"/>
      <w:r w:rsidRPr="00AD5118">
        <w:rPr>
          <w:rFonts w:ascii="Times New Roman" w:hAnsi="Times New Roman"/>
          <w:sz w:val="24"/>
          <w:szCs w:val="24"/>
        </w:rPr>
        <w:t>Aranzadi</w:t>
      </w:r>
      <w:proofErr w:type="spellEnd"/>
      <w:r w:rsidRPr="00AD5118">
        <w:rPr>
          <w:rFonts w:ascii="Times New Roman" w:hAnsi="Times New Roman"/>
          <w:sz w:val="24"/>
          <w:szCs w:val="24"/>
        </w:rPr>
        <w:t>.</w:t>
      </w:r>
    </w:p>
    <w:p w:rsidR="00121999" w:rsidRDefault="00121999" w:rsidP="00121999">
      <w:pPr>
        <w:spacing w:after="0"/>
        <w:rPr>
          <w:rFonts w:ascii="Times New Roman" w:hAnsi="Times New Roman"/>
          <w:sz w:val="24"/>
          <w:szCs w:val="24"/>
        </w:rPr>
      </w:pPr>
    </w:p>
    <w:p w:rsidR="0021746F" w:rsidRPr="00AD5118" w:rsidRDefault="0021746F" w:rsidP="00121999">
      <w:pPr>
        <w:spacing w:after="0"/>
        <w:rPr>
          <w:rFonts w:ascii="Times New Roman" w:hAnsi="Times New Roman"/>
          <w:bCs/>
          <w:sz w:val="24"/>
          <w:szCs w:val="24"/>
        </w:rPr>
      </w:pPr>
      <w:proofErr w:type="spellStart"/>
      <w:r w:rsidRPr="00AD5118">
        <w:rPr>
          <w:rFonts w:ascii="Times New Roman" w:hAnsi="Times New Roman"/>
          <w:sz w:val="24"/>
          <w:szCs w:val="24"/>
        </w:rPr>
        <w:t>Feofanov</w:t>
      </w:r>
      <w:proofErr w:type="spellEnd"/>
      <w:r w:rsidRPr="00AD5118">
        <w:rPr>
          <w:rFonts w:ascii="Times New Roman" w:hAnsi="Times New Roman"/>
          <w:sz w:val="24"/>
          <w:szCs w:val="24"/>
        </w:rPr>
        <w:t xml:space="preserve">, Yuri (1993) ‘The Establishment of the Constitutional Court in Russia and the Communist Party Case’, </w:t>
      </w:r>
      <w:r w:rsidRPr="00AD5118">
        <w:rPr>
          <w:rFonts w:ascii="Times New Roman" w:hAnsi="Times New Roman"/>
          <w:i/>
          <w:sz w:val="24"/>
          <w:szCs w:val="24"/>
        </w:rPr>
        <w:t>Review of Central and East European Law</w:t>
      </w:r>
      <w:r w:rsidRPr="00AD5118">
        <w:rPr>
          <w:rFonts w:ascii="Times New Roman" w:hAnsi="Times New Roman"/>
          <w:sz w:val="24"/>
          <w:szCs w:val="24"/>
        </w:rPr>
        <w:t xml:space="preserve"> 6: 623-37.</w:t>
      </w:r>
    </w:p>
    <w:p w:rsidR="00121999" w:rsidRDefault="00121999" w:rsidP="00121999">
      <w:pPr>
        <w:spacing w:after="0"/>
        <w:rPr>
          <w:rFonts w:ascii="Times New Roman" w:hAnsi="Times New Roman"/>
          <w:sz w:val="24"/>
          <w:szCs w:val="24"/>
        </w:rPr>
      </w:pPr>
    </w:p>
    <w:p w:rsidR="0021746F" w:rsidRDefault="0021746F" w:rsidP="00121999">
      <w:pPr>
        <w:spacing w:after="0"/>
        <w:rPr>
          <w:rFonts w:ascii="Times New Roman" w:hAnsi="Times New Roman"/>
          <w:sz w:val="24"/>
          <w:szCs w:val="24"/>
        </w:rPr>
      </w:pPr>
      <w:r w:rsidRPr="00AD5118">
        <w:rPr>
          <w:rFonts w:ascii="Times New Roman" w:hAnsi="Times New Roman"/>
          <w:sz w:val="24"/>
          <w:szCs w:val="24"/>
        </w:rPr>
        <w:t xml:space="preserve">Finn, John, (2000) ‘Electoral Regimes and the Proscription of Anti-Democratic Parties’, </w:t>
      </w:r>
      <w:r w:rsidRPr="00AD5118">
        <w:rPr>
          <w:rFonts w:ascii="Times New Roman" w:hAnsi="Times New Roman"/>
          <w:i/>
          <w:sz w:val="24"/>
          <w:szCs w:val="24"/>
        </w:rPr>
        <w:t>Terrorism and Political Violence,</w:t>
      </w:r>
      <w:r w:rsidRPr="00AD5118">
        <w:rPr>
          <w:rFonts w:ascii="Times New Roman" w:hAnsi="Times New Roman"/>
          <w:sz w:val="24"/>
          <w:szCs w:val="24"/>
        </w:rPr>
        <w:t xml:space="preserve"> 12: 51-77</w:t>
      </w:r>
    </w:p>
    <w:p w:rsidR="00121999" w:rsidRDefault="00121999" w:rsidP="00121999">
      <w:pPr>
        <w:spacing w:after="0"/>
        <w:rPr>
          <w:rFonts w:ascii="Times New Roman" w:hAnsi="Times New Roman"/>
          <w:sz w:val="24"/>
          <w:szCs w:val="24"/>
        </w:rPr>
      </w:pPr>
    </w:p>
    <w:p w:rsidR="0021746F" w:rsidRPr="00AD5118" w:rsidRDefault="0021746F" w:rsidP="00121999">
      <w:pPr>
        <w:spacing w:after="0"/>
        <w:rPr>
          <w:rFonts w:ascii="Times New Roman" w:hAnsi="Times New Roman"/>
          <w:sz w:val="24"/>
          <w:szCs w:val="24"/>
        </w:rPr>
      </w:pPr>
      <w:r>
        <w:rPr>
          <w:rFonts w:ascii="Times New Roman" w:hAnsi="Times New Roman"/>
          <w:sz w:val="24"/>
          <w:szCs w:val="24"/>
        </w:rPr>
        <w:t xml:space="preserve">Finer, S. E, Vernon </w:t>
      </w:r>
      <w:proofErr w:type="spellStart"/>
      <w:r>
        <w:rPr>
          <w:rFonts w:ascii="Times New Roman" w:hAnsi="Times New Roman"/>
          <w:sz w:val="24"/>
          <w:szCs w:val="24"/>
        </w:rPr>
        <w:t>Bogdanor</w:t>
      </w:r>
      <w:proofErr w:type="spellEnd"/>
      <w:r>
        <w:rPr>
          <w:rFonts w:ascii="Times New Roman" w:hAnsi="Times New Roman"/>
          <w:sz w:val="24"/>
          <w:szCs w:val="24"/>
        </w:rPr>
        <w:t xml:space="preserve"> and Bernard </w:t>
      </w:r>
      <w:proofErr w:type="spellStart"/>
      <w:r>
        <w:rPr>
          <w:rFonts w:ascii="Times New Roman" w:hAnsi="Times New Roman"/>
          <w:sz w:val="24"/>
          <w:szCs w:val="24"/>
        </w:rPr>
        <w:t>Rudden</w:t>
      </w:r>
      <w:proofErr w:type="spellEnd"/>
      <w:r>
        <w:rPr>
          <w:rFonts w:ascii="Times New Roman" w:hAnsi="Times New Roman"/>
          <w:sz w:val="24"/>
          <w:szCs w:val="24"/>
        </w:rPr>
        <w:t>, (1995) Comparing Constitutions (Oxford: Clarendon Press)</w:t>
      </w:r>
    </w:p>
    <w:p w:rsidR="00121999" w:rsidRDefault="00121999" w:rsidP="00121999">
      <w:pPr>
        <w:autoSpaceDE w:val="0"/>
        <w:autoSpaceDN w:val="0"/>
        <w:adjustRightInd w:val="0"/>
        <w:spacing w:after="0"/>
        <w:rPr>
          <w:rFonts w:ascii="Times New Roman" w:hAnsi="Times New Roman"/>
          <w:sz w:val="24"/>
          <w:szCs w:val="24"/>
        </w:rPr>
      </w:pPr>
    </w:p>
    <w:p w:rsidR="0021746F" w:rsidRPr="00AD5118" w:rsidRDefault="0021746F" w:rsidP="00121999">
      <w:pPr>
        <w:autoSpaceDE w:val="0"/>
        <w:autoSpaceDN w:val="0"/>
        <w:adjustRightInd w:val="0"/>
        <w:spacing w:after="0"/>
        <w:rPr>
          <w:rFonts w:ascii="Times New Roman" w:hAnsi="Times New Roman"/>
          <w:sz w:val="24"/>
          <w:szCs w:val="24"/>
        </w:rPr>
      </w:pPr>
      <w:r w:rsidRPr="00AD5118">
        <w:rPr>
          <w:rFonts w:ascii="Times New Roman" w:hAnsi="Times New Roman"/>
          <w:sz w:val="24"/>
          <w:szCs w:val="24"/>
        </w:rPr>
        <w:t>Fitzpatrick, David 1998, The Two Irelands, 1912-1939 (Oxford UP), p. 117</w:t>
      </w:r>
    </w:p>
    <w:p w:rsidR="00121999" w:rsidRDefault="00121999" w:rsidP="00121999">
      <w:pPr>
        <w:spacing w:after="0"/>
        <w:rPr>
          <w:rFonts w:ascii="Times New Roman" w:hAnsi="Times New Roman"/>
          <w:sz w:val="24"/>
          <w:szCs w:val="24"/>
        </w:rPr>
      </w:pPr>
    </w:p>
    <w:p w:rsidR="00121999" w:rsidRDefault="0021746F" w:rsidP="00121999">
      <w:pPr>
        <w:spacing w:after="0"/>
        <w:rPr>
          <w:rFonts w:ascii="Times New Roman" w:hAnsi="Times New Roman"/>
          <w:sz w:val="24"/>
          <w:szCs w:val="24"/>
        </w:rPr>
      </w:pPr>
      <w:r w:rsidRPr="00AD5118">
        <w:rPr>
          <w:rFonts w:ascii="Times New Roman" w:hAnsi="Times New Roman"/>
          <w:sz w:val="24"/>
          <w:szCs w:val="24"/>
        </w:rPr>
        <w:t xml:space="preserve">Fox, Gregory H and Georg Nolte (2000) ‘Intolerant Democracies’, in Gregory H. Fox and Brad R. </w:t>
      </w:r>
    </w:p>
    <w:p w:rsidR="0021746F" w:rsidRPr="00AD5118" w:rsidRDefault="0021746F" w:rsidP="00121999">
      <w:pPr>
        <w:spacing w:after="0"/>
        <w:rPr>
          <w:rFonts w:ascii="Times New Roman" w:hAnsi="Times New Roman"/>
          <w:sz w:val="24"/>
          <w:szCs w:val="24"/>
        </w:rPr>
      </w:pPr>
      <w:r w:rsidRPr="00AD5118">
        <w:rPr>
          <w:rFonts w:ascii="Times New Roman" w:hAnsi="Times New Roman"/>
          <w:sz w:val="24"/>
          <w:szCs w:val="24"/>
        </w:rPr>
        <w:t>Roth (</w:t>
      </w:r>
      <w:proofErr w:type="spellStart"/>
      <w:r w:rsidRPr="00AD5118">
        <w:rPr>
          <w:rFonts w:ascii="Times New Roman" w:hAnsi="Times New Roman"/>
          <w:sz w:val="24"/>
          <w:szCs w:val="24"/>
        </w:rPr>
        <w:t>eds</w:t>
      </w:r>
      <w:proofErr w:type="spellEnd"/>
      <w:r w:rsidRPr="00AD5118">
        <w:rPr>
          <w:rFonts w:ascii="Times New Roman" w:hAnsi="Times New Roman"/>
          <w:sz w:val="24"/>
          <w:szCs w:val="24"/>
        </w:rPr>
        <w:t xml:space="preserve">) </w:t>
      </w:r>
      <w:r w:rsidRPr="00AD5118">
        <w:rPr>
          <w:rFonts w:ascii="Times New Roman" w:hAnsi="Times New Roman"/>
          <w:i/>
          <w:sz w:val="24"/>
          <w:szCs w:val="24"/>
        </w:rPr>
        <w:t>Democratic Governance and International Law</w:t>
      </w:r>
      <w:r w:rsidRPr="00AD5118">
        <w:rPr>
          <w:rFonts w:ascii="Times New Roman" w:hAnsi="Times New Roman"/>
          <w:sz w:val="24"/>
          <w:szCs w:val="24"/>
        </w:rPr>
        <w:t>,</w:t>
      </w:r>
      <w:r w:rsidRPr="00AD5118">
        <w:rPr>
          <w:rFonts w:ascii="Times New Roman" w:hAnsi="Times New Roman"/>
          <w:i/>
          <w:sz w:val="24"/>
          <w:szCs w:val="24"/>
        </w:rPr>
        <w:t xml:space="preserve"> </w:t>
      </w:r>
      <w:r w:rsidRPr="00AD5118">
        <w:rPr>
          <w:rFonts w:ascii="Times New Roman" w:hAnsi="Times New Roman"/>
          <w:sz w:val="24"/>
          <w:szCs w:val="24"/>
        </w:rPr>
        <w:t>pp. 389-435. Cambridge: Cambridge University Press.</w:t>
      </w:r>
    </w:p>
    <w:p w:rsidR="00121999" w:rsidRDefault="00121999" w:rsidP="00121999">
      <w:pPr>
        <w:spacing w:after="0"/>
        <w:jc w:val="both"/>
        <w:rPr>
          <w:rFonts w:ascii="Times New Roman" w:hAnsi="Times New Roman"/>
          <w:sz w:val="24"/>
          <w:szCs w:val="24"/>
        </w:rPr>
      </w:pPr>
    </w:p>
    <w:p w:rsidR="0021746F" w:rsidRPr="00AD5118" w:rsidRDefault="0021746F" w:rsidP="00121999">
      <w:pPr>
        <w:spacing w:after="0"/>
        <w:jc w:val="both"/>
        <w:rPr>
          <w:rFonts w:ascii="Times New Roman" w:hAnsi="Times New Roman"/>
          <w:sz w:val="24"/>
          <w:szCs w:val="24"/>
          <w:lang w:val="en-US"/>
        </w:rPr>
      </w:pPr>
      <w:proofErr w:type="spellStart"/>
      <w:r w:rsidRPr="00AD5118">
        <w:rPr>
          <w:rFonts w:ascii="Times New Roman" w:hAnsi="Times New Roman"/>
          <w:sz w:val="24"/>
          <w:szCs w:val="24"/>
        </w:rPr>
        <w:t>Güney</w:t>
      </w:r>
      <w:proofErr w:type="spellEnd"/>
      <w:r w:rsidRPr="00AD5118">
        <w:rPr>
          <w:rFonts w:ascii="Times New Roman" w:hAnsi="Times New Roman"/>
          <w:sz w:val="24"/>
          <w:szCs w:val="24"/>
        </w:rPr>
        <w:t xml:space="preserve">, </w:t>
      </w:r>
      <w:proofErr w:type="spellStart"/>
      <w:r w:rsidRPr="00AD5118">
        <w:rPr>
          <w:rFonts w:ascii="Times New Roman" w:hAnsi="Times New Roman"/>
          <w:sz w:val="24"/>
          <w:szCs w:val="24"/>
        </w:rPr>
        <w:t>Aylin</w:t>
      </w:r>
      <w:proofErr w:type="spellEnd"/>
      <w:r w:rsidRPr="00AD5118">
        <w:rPr>
          <w:rFonts w:ascii="Times New Roman" w:hAnsi="Times New Roman"/>
          <w:sz w:val="24"/>
          <w:szCs w:val="24"/>
        </w:rPr>
        <w:t xml:space="preserve"> and </w:t>
      </w:r>
      <w:proofErr w:type="spellStart"/>
      <w:r w:rsidRPr="00AD5118">
        <w:rPr>
          <w:rFonts w:ascii="Times New Roman" w:hAnsi="Times New Roman"/>
          <w:sz w:val="24"/>
          <w:szCs w:val="24"/>
        </w:rPr>
        <w:t>Başkan</w:t>
      </w:r>
      <w:proofErr w:type="spellEnd"/>
      <w:r w:rsidRPr="00AD5118">
        <w:rPr>
          <w:rFonts w:ascii="Times New Roman" w:hAnsi="Times New Roman"/>
          <w:sz w:val="24"/>
          <w:szCs w:val="24"/>
        </w:rPr>
        <w:t xml:space="preserve">, </w:t>
      </w:r>
      <w:proofErr w:type="spellStart"/>
      <w:r w:rsidRPr="00AD5118">
        <w:rPr>
          <w:rFonts w:ascii="Times New Roman" w:hAnsi="Times New Roman"/>
          <w:sz w:val="24"/>
          <w:szCs w:val="24"/>
        </w:rPr>
        <w:t>Filiz</w:t>
      </w:r>
      <w:proofErr w:type="spellEnd"/>
      <w:r w:rsidRPr="00AD5118">
        <w:rPr>
          <w:rFonts w:ascii="Times New Roman" w:hAnsi="Times New Roman"/>
          <w:sz w:val="24"/>
          <w:szCs w:val="24"/>
        </w:rPr>
        <w:t xml:space="preserve"> (2008) ‘Party Dissolutions and Democratic Consolidation: The Turkish Case’, </w:t>
      </w:r>
      <w:r w:rsidRPr="00AD5118">
        <w:rPr>
          <w:rFonts w:ascii="Times New Roman" w:hAnsi="Times New Roman"/>
          <w:i/>
          <w:sz w:val="24"/>
          <w:szCs w:val="24"/>
        </w:rPr>
        <w:t>South European Society and Politics</w:t>
      </w:r>
      <w:r w:rsidRPr="00AD5118">
        <w:rPr>
          <w:rFonts w:ascii="Times New Roman" w:hAnsi="Times New Roman"/>
          <w:sz w:val="24"/>
          <w:szCs w:val="24"/>
        </w:rPr>
        <w:t xml:space="preserve"> 13: 263-281.</w:t>
      </w:r>
    </w:p>
    <w:p w:rsidR="00121999" w:rsidRDefault="00121999" w:rsidP="00121999">
      <w:pPr>
        <w:spacing w:after="0"/>
        <w:jc w:val="both"/>
        <w:rPr>
          <w:rFonts w:ascii="Times New Roman" w:hAnsi="Times New Roman"/>
          <w:sz w:val="24"/>
          <w:szCs w:val="24"/>
        </w:rPr>
      </w:pPr>
    </w:p>
    <w:p w:rsidR="0021746F" w:rsidRPr="00AD5118" w:rsidRDefault="0021746F" w:rsidP="00121999">
      <w:pPr>
        <w:spacing w:after="0"/>
        <w:jc w:val="both"/>
        <w:rPr>
          <w:rFonts w:ascii="Times New Roman" w:hAnsi="Times New Roman"/>
          <w:sz w:val="24"/>
          <w:szCs w:val="24"/>
          <w:lang w:val="en-US"/>
        </w:rPr>
      </w:pPr>
      <w:proofErr w:type="spellStart"/>
      <w:r w:rsidRPr="00AD5118">
        <w:rPr>
          <w:rFonts w:ascii="Times New Roman" w:hAnsi="Times New Roman"/>
          <w:sz w:val="24"/>
          <w:szCs w:val="24"/>
        </w:rPr>
        <w:t>Kirchheimer</w:t>
      </w:r>
      <w:proofErr w:type="spellEnd"/>
      <w:r w:rsidRPr="00AD5118">
        <w:rPr>
          <w:rFonts w:ascii="Times New Roman" w:hAnsi="Times New Roman"/>
          <w:sz w:val="24"/>
          <w:szCs w:val="24"/>
        </w:rPr>
        <w:t xml:space="preserve">, Otto (1961) </w:t>
      </w:r>
      <w:r w:rsidRPr="00AD5118">
        <w:rPr>
          <w:rFonts w:ascii="Times New Roman" w:hAnsi="Times New Roman"/>
          <w:i/>
          <w:sz w:val="24"/>
          <w:szCs w:val="24"/>
        </w:rPr>
        <w:t>Political Justice</w:t>
      </w:r>
      <w:r w:rsidRPr="00AD5118">
        <w:rPr>
          <w:rFonts w:ascii="Times New Roman" w:hAnsi="Times New Roman"/>
          <w:sz w:val="24"/>
          <w:szCs w:val="24"/>
        </w:rPr>
        <w:t xml:space="preserve">. </w:t>
      </w:r>
      <w:r w:rsidRPr="00AD5118">
        <w:rPr>
          <w:rFonts w:ascii="Times New Roman" w:hAnsi="Times New Roman"/>
          <w:sz w:val="24"/>
          <w:szCs w:val="24"/>
          <w:lang w:val="en-US"/>
        </w:rPr>
        <w:t>New Jersey: Princeton University Press.</w:t>
      </w:r>
    </w:p>
    <w:p w:rsidR="00121999" w:rsidRDefault="00121999" w:rsidP="00121999">
      <w:pPr>
        <w:spacing w:after="0"/>
        <w:jc w:val="both"/>
        <w:rPr>
          <w:rFonts w:ascii="Times New Roman" w:hAnsi="Times New Roman"/>
          <w:sz w:val="24"/>
          <w:szCs w:val="24"/>
          <w:lang w:val="en-US"/>
        </w:rPr>
      </w:pPr>
    </w:p>
    <w:p w:rsidR="0021746F" w:rsidRPr="00AD5118" w:rsidRDefault="0021746F" w:rsidP="00121999">
      <w:pPr>
        <w:spacing w:after="0"/>
        <w:jc w:val="both"/>
        <w:rPr>
          <w:rFonts w:ascii="Times New Roman" w:hAnsi="Times New Roman"/>
          <w:sz w:val="24"/>
          <w:szCs w:val="24"/>
          <w:lang w:val="en-US"/>
        </w:rPr>
      </w:pPr>
      <w:proofErr w:type="spellStart"/>
      <w:r w:rsidRPr="00AD5118">
        <w:rPr>
          <w:rFonts w:ascii="Times New Roman" w:hAnsi="Times New Roman"/>
          <w:sz w:val="24"/>
          <w:szCs w:val="24"/>
          <w:lang w:val="en-US"/>
        </w:rPr>
        <w:t>Loewenstein</w:t>
      </w:r>
      <w:proofErr w:type="spellEnd"/>
      <w:r w:rsidRPr="00AD5118">
        <w:rPr>
          <w:rFonts w:ascii="Times New Roman" w:hAnsi="Times New Roman"/>
          <w:sz w:val="24"/>
          <w:szCs w:val="24"/>
          <w:lang w:val="en-US"/>
        </w:rPr>
        <w:t>,</w:t>
      </w:r>
      <w:r w:rsidRPr="00AD5118">
        <w:rPr>
          <w:rFonts w:ascii="Times New Roman" w:hAnsi="Times New Roman"/>
          <w:sz w:val="24"/>
          <w:szCs w:val="24"/>
        </w:rPr>
        <w:t xml:space="preserve"> Karl (1937) ‘</w:t>
      </w:r>
      <w:r w:rsidRPr="00AD5118">
        <w:rPr>
          <w:rFonts w:ascii="Times New Roman" w:hAnsi="Times New Roman"/>
          <w:sz w:val="24"/>
          <w:szCs w:val="24"/>
          <w:lang w:val="en-US"/>
        </w:rPr>
        <w:t xml:space="preserve">Militant Democracy and Fundamental Rights I’, </w:t>
      </w:r>
      <w:r w:rsidRPr="00AD5118">
        <w:rPr>
          <w:rFonts w:ascii="Times New Roman" w:hAnsi="Times New Roman"/>
          <w:i/>
          <w:sz w:val="24"/>
          <w:szCs w:val="24"/>
          <w:lang w:val="en-US"/>
        </w:rPr>
        <w:t>The American Political Science Review</w:t>
      </w:r>
      <w:r w:rsidRPr="00AD5118">
        <w:rPr>
          <w:rFonts w:ascii="Times New Roman" w:hAnsi="Times New Roman"/>
          <w:sz w:val="24"/>
          <w:szCs w:val="24"/>
          <w:lang w:val="en-US"/>
        </w:rPr>
        <w:t xml:space="preserve"> 31: 417-432</w:t>
      </w:r>
    </w:p>
    <w:p w:rsidR="00121999" w:rsidRDefault="00121999" w:rsidP="00121999">
      <w:pPr>
        <w:spacing w:after="0"/>
        <w:rPr>
          <w:rFonts w:ascii="Times New Roman" w:hAnsi="Times New Roman"/>
          <w:sz w:val="24"/>
          <w:szCs w:val="24"/>
        </w:rPr>
      </w:pPr>
    </w:p>
    <w:p w:rsidR="0021746F" w:rsidRPr="00AD5118" w:rsidRDefault="0021746F" w:rsidP="00121999">
      <w:pPr>
        <w:spacing w:after="0"/>
        <w:rPr>
          <w:rFonts w:ascii="Times New Roman" w:hAnsi="Times New Roman"/>
          <w:sz w:val="24"/>
          <w:szCs w:val="24"/>
        </w:rPr>
      </w:pPr>
      <w:r w:rsidRPr="00AD5118">
        <w:rPr>
          <w:rFonts w:ascii="Times New Roman" w:hAnsi="Times New Roman"/>
          <w:sz w:val="24"/>
          <w:szCs w:val="24"/>
        </w:rPr>
        <w:t xml:space="preserve">Hall, P and Taylor, R (1998) Political Science and the Three New </w:t>
      </w:r>
      <w:proofErr w:type="spellStart"/>
      <w:r w:rsidRPr="00AD5118">
        <w:rPr>
          <w:rFonts w:ascii="Times New Roman" w:hAnsi="Times New Roman"/>
          <w:sz w:val="24"/>
          <w:szCs w:val="24"/>
        </w:rPr>
        <w:t>Institutioanlisms</w:t>
      </w:r>
      <w:proofErr w:type="spellEnd"/>
      <w:r w:rsidRPr="00AD5118">
        <w:rPr>
          <w:rFonts w:ascii="Times New Roman" w:hAnsi="Times New Roman"/>
          <w:sz w:val="24"/>
          <w:szCs w:val="24"/>
        </w:rPr>
        <w:t>’, Political Studies, 44, 936-957.</w:t>
      </w:r>
    </w:p>
    <w:p w:rsidR="00121999" w:rsidRDefault="00121999" w:rsidP="00121999">
      <w:pPr>
        <w:spacing w:after="0"/>
        <w:rPr>
          <w:rFonts w:ascii="Times New Roman" w:hAnsi="Times New Roman"/>
          <w:sz w:val="24"/>
          <w:szCs w:val="24"/>
        </w:rPr>
      </w:pPr>
    </w:p>
    <w:p w:rsidR="0021746F" w:rsidRPr="00AD5118" w:rsidRDefault="0021746F" w:rsidP="00121999">
      <w:pPr>
        <w:spacing w:after="0"/>
        <w:rPr>
          <w:rFonts w:ascii="Times New Roman" w:hAnsi="Times New Roman"/>
          <w:sz w:val="24"/>
          <w:szCs w:val="24"/>
        </w:rPr>
      </w:pPr>
      <w:r w:rsidRPr="00AD5118">
        <w:rPr>
          <w:rFonts w:ascii="Times New Roman" w:hAnsi="Times New Roman"/>
          <w:sz w:val="24"/>
          <w:szCs w:val="24"/>
        </w:rPr>
        <w:t xml:space="preserve">Hay, C (2002) </w:t>
      </w:r>
      <w:r w:rsidRPr="00FA62D0">
        <w:rPr>
          <w:rFonts w:ascii="Times New Roman" w:hAnsi="Times New Roman"/>
          <w:i/>
          <w:sz w:val="24"/>
          <w:szCs w:val="24"/>
        </w:rPr>
        <w:t>Political Analysis</w:t>
      </w:r>
      <w:r w:rsidRPr="00AD5118">
        <w:rPr>
          <w:rFonts w:ascii="Times New Roman" w:hAnsi="Times New Roman"/>
          <w:sz w:val="24"/>
          <w:szCs w:val="24"/>
        </w:rPr>
        <w:t xml:space="preserve"> (</w:t>
      </w:r>
      <w:proofErr w:type="spellStart"/>
      <w:r w:rsidRPr="00AD5118">
        <w:rPr>
          <w:rFonts w:ascii="Times New Roman" w:hAnsi="Times New Roman"/>
          <w:sz w:val="24"/>
          <w:szCs w:val="24"/>
        </w:rPr>
        <w:t>Houndsmills</w:t>
      </w:r>
      <w:proofErr w:type="spellEnd"/>
      <w:r w:rsidRPr="00AD5118">
        <w:rPr>
          <w:rFonts w:ascii="Times New Roman" w:hAnsi="Times New Roman"/>
          <w:sz w:val="24"/>
          <w:szCs w:val="24"/>
        </w:rPr>
        <w:t>: Palgrave)</w:t>
      </w:r>
    </w:p>
    <w:p w:rsidR="0021746F" w:rsidRPr="00AD5118" w:rsidRDefault="0021746F" w:rsidP="00121999">
      <w:pPr>
        <w:spacing w:after="0"/>
        <w:rPr>
          <w:rFonts w:ascii="Times New Roman" w:hAnsi="Times New Roman"/>
          <w:sz w:val="24"/>
          <w:szCs w:val="24"/>
        </w:rPr>
      </w:pPr>
      <w:r w:rsidRPr="00AD5118">
        <w:rPr>
          <w:rFonts w:ascii="Times New Roman" w:hAnsi="Times New Roman"/>
          <w:sz w:val="24"/>
          <w:szCs w:val="24"/>
        </w:rPr>
        <w:t xml:space="preserve">Hanley, Brian (2002), </w:t>
      </w:r>
      <w:r w:rsidRPr="00AD5118">
        <w:rPr>
          <w:rFonts w:ascii="Times New Roman" w:hAnsi="Times New Roman"/>
          <w:i/>
          <w:sz w:val="24"/>
          <w:szCs w:val="24"/>
        </w:rPr>
        <w:t>The IRA 1926-1936</w:t>
      </w:r>
      <w:r w:rsidRPr="00AD5118">
        <w:rPr>
          <w:rFonts w:ascii="Times New Roman" w:hAnsi="Times New Roman"/>
          <w:sz w:val="24"/>
          <w:szCs w:val="24"/>
        </w:rPr>
        <w:t xml:space="preserve"> (Four Courts Press, Dublin)</w:t>
      </w:r>
    </w:p>
    <w:p w:rsidR="00121999" w:rsidRDefault="00121999" w:rsidP="00121999">
      <w:pPr>
        <w:spacing w:after="0"/>
        <w:rPr>
          <w:rFonts w:ascii="Times New Roman" w:hAnsi="Times New Roman"/>
          <w:sz w:val="24"/>
          <w:szCs w:val="24"/>
        </w:rPr>
      </w:pPr>
    </w:p>
    <w:p w:rsidR="0021746F" w:rsidRPr="00AD5118" w:rsidRDefault="0021746F" w:rsidP="00121999">
      <w:pPr>
        <w:spacing w:after="0"/>
        <w:rPr>
          <w:rFonts w:ascii="Times New Roman" w:hAnsi="Times New Roman"/>
          <w:sz w:val="24"/>
          <w:szCs w:val="24"/>
        </w:rPr>
      </w:pPr>
      <w:r w:rsidRPr="00AD5118">
        <w:rPr>
          <w:rFonts w:ascii="Times New Roman" w:hAnsi="Times New Roman"/>
          <w:sz w:val="24"/>
          <w:szCs w:val="24"/>
        </w:rPr>
        <w:t>Patterson, Henry (2006) Ireland since 1939: The Persistence of Conflict (Penguin)</w:t>
      </w:r>
    </w:p>
    <w:p w:rsidR="0021746F" w:rsidRPr="00AD5118" w:rsidRDefault="0021746F" w:rsidP="00121999">
      <w:pPr>
        <w:spacing w:after="0"/>
        <w:rPr>
          <w:rFonts w:ascii="Times New Roman" w:hAnsi="Times New Roman"/>
          <w:sz w:val="24"/>
          <w:szCs w:val="24"/>
        </w:rPr>
      </w:pPr>
    </w:p>
    <w:p w:rsidR="0021746F" w:rsidRPr="00AD5118" w:rsidRDefault="0021746F" w:rsidP="00121999">
      <w:pPr>
        <w:spacing w:after="0"/>
        <w:rPr>
          <w:rFonts w:ascii="Times New Roman" w:hAnsi="Times New Roman"/>
          <w:sz w:val="24"/>
          <w:szCs w:val="24"/>
        </w:rPr>
      </w:pPr>
      <w:proofErr w:type="spellStart"/>
      <w:r w:rsidRPr="00AD5118">
        <w:rPr>
          <w:rFonts w:ascii="Times New Roman" w:hAnsi="Times New Roman"/>
          <w:sz w:val="24"/>
          <w:szCs w:val="24"/>
        </w:rPr>
        <w:lastRenderedPageBreak/>
        <w:t>Landmann</w:t>
      </w:r>
      <w:proofErr w:type="spellEnd"/>
      <w:r w:rsidRPr="00AD5118">
        <w:rPr>
          <w:rFonts w:ascii="Times New Roman" w:hAnsi="Times New Roman"/>
          <w:sz w:val="24"/>
          <w:szCs w:val="24"/>
        </w:rPr>
        <w:t>, T (200</w:t>
      </w:r>
      <w:r w:rsidR="00FA62D0">
        <w:rPr>
          <w:rFonts w:ascii="Times New Roman" w:hAnsi="Times New Roman"/>
          <w:sz w:val="24"/>
          <w:szCs w:val="24"/>
        </w:rPr>
        <w:t>8</w:t>
      </w:r>
      <w:r w:rsidRPr="00AD5118">
        <w:rPr>
          <w:rFonts w:ascii="Times New Roman" w:hAnsi="Times New Roman"/>
          <w:sz w:val="24"/>
          <w:szCs w:val="24"/>
        </w:rPr>
        <w:t xml:space="preserve">) </w:t>
      </w:r>
      <w:r w:rsidR="00FA62D0" w:rsidRPr="00FA62D0">
        <w:rPr>
          <w:rFonts w:ascii="Times New Roman" w:hAnsi="Times New Roman"/>
          <w:i/>
          <w:sz w:val="24"/>
          <w:szCs w:val="24"/>
        </w:rPr>
        <w:t>Issues and Methods in Comparative Politics: An Introduction’</w:t>
      </w:r>
      <w:r w:rsidR="00FA62D0">
        <w:rPr>
          <w:rFonts w:ascii="Times New Roman" w:hAnsi="Times New Roman"/>
          <w:sz w:val="24"/>
          <w:szCs w:val="24"/>
        </w:rPr>
        <w:t xml:space="preserve">, Third edition, (Oxon: </w:t>
      </w:r>
      <w:proofErr w:type="spellStart"/>
      <w:r w:rsidR="00FA62D0">
        <w:rPr>
          <w:rFonts w:ascii="Times New Roman" w:hAnsi="Times New Roman"/>
          <w:sz w:val="24"/>
          <w:szCs w:val="24"/>
        </w:rPr>
        <w:t>Routledge</w:t>
      </w:r>
      <w:proofErr w:type="spellEnd"/>
      <w:r w:rsidR="00FA62D0">
        <w:rPr>
          <w:rFonts w:ascii="Times New Roman" w:hAnsi="Times New Roman"/>
          <w:sz w:val="24"/>
          <w:szCs w:val="24"/>
        </w:rPr>
        <w:t>)</w:t>
      </w:r>
    </w:p>
    <w:p w:rsidR="00121999" w:rsidRDefault="00121999" w:rsidP="00121999">
      <w:pPr>
        <w:autoSpaceDE w:val="0"/>
        <w:autoSpaceDN w:val="0"/>
        <w:adjustRightInd w:val="0"/>
        <w:spacing w:after="0"/>
        <w:rPr>
          <w:rFonts w:ascii="Times New Roman" w:hAnsi="Times New Roman"/>
          <w:sz w:val="24"/>
          <w:szCs w:val="24"/>
        </w:rPr>
      </w:pPr>
    </w:p>
    <w:p w:rsidR="0021746F" w:rsidRPr="00AD5118" w:rsidRDefault="0021746F" w:rsidP="00121999">
      <w:pPr>
        <w:autoSpaceDE w:val="0"/>
        <w:autoSpaceDN w:val="0"/>
        <w:adjustRightInd w:val="0"/>
        <w:spacing w:after="0"/>
        <w:rPr>
          <w:rFonts w:ascii="Times New Roman" w:hAnsi="Times New Roman"/>
          <w:sz w:val="24"/>
          <w:szCs w:val="24"/>
        </w:rPr>
      </w:pPr>
      <w:proofErr w:type="spellStart"/>
      <w:r w:rsidRPr="00AD5118">
        <w:rPr>
          <w:rFonts w:ascii="Times New Roman" w:hAnsi="Times New Roman"/>
          <w:sz w:val="24"/>
          <w:szCs w:val="24"/>
        </w:rPr>
        <w:t>Mees</w:t>
      </w:r>
      <w:proofErr w:type="spellEnd"/>
      <w:r w:rsidRPr="00AD5118">
        <w:rPr>
          <w:rFonts w:ascii="Times New Roman" w:hAnsi="Times New Roman"/>
          <w:sz w:val="24"/>
          <w:szCs w:val="24"/>
        </w:rPr>
        <w:t xml:space="preserve">, </w:t>
      </w:r>
      <w:proofErr w:type="spellStart"/>
      <w:r w:rsidRPr="00AD5118">
        <w:rPr>
          <w:rFonts w:ascii="Times New Roman" w:hAnsi="Times New Roman"/>
          <w:sz w:val="24"/>
          <w:szCs w:val="24"/>
        </w:rPr>
        <w:t>Ludger</w:t>
      </w:r>
      <w:proofErr w:type="spellEnd"/>
      <w:r w:rsidRPr="00AD5118">
        <w:rPr>
          <w:rFonts w:ascii="Times New Roman" w:hAnsi="Times New Roman"/>
          <w:sz w:val="24"/>
          <w:szCs w:val="24"/>
        </w:rPr>
        <w:t xml:space="preserve"> (2003) </w:t>
      </w:r>
      <w:r w:rsidRPr="00AD5118">
        <w:rPr>
          <w:rFonts w:ascii="Times New Roman" w:hAnsi="Times New Roman"/>
          <w:i/>
          <w:sz w:val="24"/>
          <w:szCs w:val="24"/>
        </w:rPr>
        <w:t>Nationalism, Violence and Democracy</w:t>
      </w:r>
      <w:r w:rsidRPr="00AD5118">
        <w:rPr>
          <w:rFonts w:ascii="Times New Roman" w:hAnsi="Times New Roman"/>
          <w:sz w:val="24"/>
          <w:szCs w:val="24"/>
        </w:rPr>
        <w:t xml:space="preserve">. </w:t>
      </w:r>
      <w:proofErr w:type="spellStart"/>
      <w:r w:rsidRPr="00AD5118">
        <w:rPr>
          <w:rFonts w:ascii="Times New Roman" w:hAnsi="Times New Roman"/>
          <w:sz w:val="24"/>
          <w:szCs w:val="24"/>
        </w:rPr>
        <w:t>Houndsmills</w:t>
      </w:r>
      <w:proofErr w:type="spellEnd"/>
      <w:r w:rsidRPr="00AD5118">
        <w:rPr>
          <w:rFonts w:ascii="Times New Roman" w:hAnsi="Times New Roman"/>
          <w:sz w:val="24"/>
          <w:szCs w:val="24"/>
        </w:rPr>
        <w:t>, Basingstoke: Palgrave.</w:t>
      </w:r>
    </w:p>
    <w:p w:rsidR="0021746F" w:rsidRDefault="0021746F" w:rsidP="00121999">
      <w:pPr>
        <w:spacing w:after="0"/>
        <w:rPr>
          <w:rFonts w:ascii="Times New Roman" w:hAnsi="Times New Roman"/>
          <w:sz w:val="24"/>
          <w:szCs w:val="24"/>
        </w:rPr>
      </w:pPr>
      <w:r w:rsidRPr="00AD5118">
        <w:rPr>
          <w:rFonts w:ascii="Times New Roman" w:hAnsi="Times New Roman"/>
          <w:sz w:val="24"/>
          <w:szCs w:val="24"/>
        </w:rPr>
        <w:t>McAllister, Ian and Nelson, Sarah (1979) ’Modern Developments in the Northern Ireland Party System’</w:t>
      </w:r>
      <w:r w:rsidRPr="00AD5118">
        <w:rPr>
          <w:rFonts w:ascii="Times New Roman" w:hAnsi="Times New Roman"/>
          <w:i/>
          <w:sz w:val="24"/>
          <w:szCs w:val="24"/>
        </w:rPr>
        <w:t>, Parliamentary Affairs</w:t>
      </w:r>
      <w:r w:rsidRPr="00AD5118">
        <w:rPr>
          <w:rFonts w:ascii="Times New Roman" w:hAnsi="Times New Roman"/>
          <w:sz w:val="24"/>
          <w:szCs w:val="24"/>
        </w:rPr>
        <w:t>, summer, 279-316</w:t>
      </w:r>
    </w:p>
    <w:p w:rsidR="0021746F" w:rsidRPr="00637849" w:rsidRDefault="0021746F" w:rsidP="00121999">
      <w:pPr>
        <w:spacing w:after="0"/>
        <w:rPr>
          <w:rFonts w:ascii="Times New Roman" w:hAnsi="Times New Roman"/>
          <w:sz w:val="24"/>
          <w:szCs w:val="24"/>
        </w:rPr>
      </w:pPr>
    </w:p>
    <w:p w:rsidR="0021746F" w:rsidRPr="00637849" w:rsidRDefault="0021746F" w:rsidP="00121999">
      <w:pPr>
        <w:spacing w:after="0"/>
        <w:rPr>
          <w:rFonts w:ascii="Times New Roman" w:hAnsi="Times New Roman"/>
          <w:sz w:val="24"/>
          <w:szCs w:val="24"/>
        </w:rPr>
      </w:pPr>
      <w:r w:rsidRPr="00637849">
        <w:rPr>
          <w:rFonts w:ascii="Times New Roman" w:hAnsi="Times New Roman"/>
          <w:sz w:val="24"/>
          <w:szCs w:val="24"/>
        </w:rPr>
        <w:t xml:space="preserve">McKinnon, </w:t>
      </w:r>
      <w:proofErr w:type="spellStart"/>
      <w:r w:rsidRPr="00637849">
        <w:rPr>
          <w:rFonts w:ascii="Times New Roman" w:hAnsi="Times New Roman"/>
          <w:sz w:val="24"/>
          <w:szCs w:val="24"/>
        </w:rPr>
        <w:t>Catriona</w:t>
      </w:r>
      <w:proofErr w:type="spellEnd"/>
      <w:r w:rsidRPr="00637849">
        <w:rPr>
          <w:rFonts w:ascii="Times New Roman" w:hAnsi="Times New Roman"/>
          <w:sz w:val="24"/>
          <w:szCs w:val="24"/>
        </w:rPr>
        <w:t xml:space="preserve"> (2006) </w:t>
      </w:r>
      <w:r w:rsidRPr="00637849">
        <w:rPr>
          <w:rFonts w:ascii="Times New Roman" w:hAnsi="Times New Roman"/>
          <w:i/>
          <w:sz w:val="24"/>
          <w:szCs w:val="24"/>
        </w:rPr>
        <w:t>Toleration</w:t>
      </w:r>
      <w:r w:rsidRPr="00637849">
        <w:rPr>
          <w:rFonts w:ascii="Times New Roman" w:hAnsi="Times New Roman"/>
          <w:sz w:val="24"/>
          <w:szCs w:val="24"/>
        </w:rPr>
        <w:t xml:space="preserve"> (London, </w:t>
      </w:r>
      <w:proofErr w:type="spellStart"/>
      <w:r w:rsidRPr="00637849">
        <w:rPr>
          <w:rFonts w:ascii="Times New Roman" w:hAnsi="Times New Roman"/>
          <w:sz w:val="24"/>
          <w:szCs w:val="24"/>
        </w:rPr>
        <w:t>Routledge</w:t>
      </w:r>
      <w:proofErr w:type="spellEnd"/>
      <w:r w:rsidRPr="00637849">
        <w:rPr>
          <w:rFonts w:ascii="Times New Roman" w:hAnsi="Times New Roman"/>
          <w:sz w:val="24"/>
          <w:szCs w:val="24"/>
        </w:rPr>
        <w:t>).</w:t>
      </w:r>
    </w:p>
    <w:p w:rsidR="00121999" w:rsidRDefault="00121999" w:rsidP="00121999">
      <w:pPr>
        <w:spacing w:after="0"/>
        <w:jc w:val="both"/>
        <w:rPr>
          <w:rFonts w:ascii="Times New Roman" w:hAnsi="Times New Roman"/>
          <w:bCs/>
          <w:sz w:val="24"/>
          <w:szCs w:val="24"/>
        </w:rPr>
      </w:pPr>
    </w:p>
    <w:p w:rsidR="0021746F" w:rsidRPr="00AD5118" w:rsidRDefault="0021746F" w:rsidP="00121999">
      <w:pPr>
        <w:spacing w:after="0"/>
        <w:jc w:val="both"/>
        <w:rPr>
          <w:rFonts w:ascii="Times New Roman" w:hAnsi="Times New Roman"/>
          <w:bCs/>
          <w:sz w:val="24"/>
          <w:szCs w:val="24"/>
        </w:rPr>
      </w:pPr>
      <w:proofErr w:type="spellStart"/>
      <w:r w:rsidRPr="00AD5118">
        <w:rPr>
          <w:rFonts w:ascii="Times New Roman" w:hAnsi="Times New Roman"/>
          <w:bCs/>
          <w:sz w:val="24"/>
          <w:szCs w:val="24"/>
        </w:rPr>
        <w:t>Muro</w:t>
      </w:r>
      <w:proofErr w:type="spellEnd"/>
      <w:r w:rsidRPr="00AD5118">
        <w:rPr>
          <w:rFonts w:ascii="Times New Roman" w:hAnsi="Times New Roman"/>
          <w:bCs/>
          <w:sz w:val="24"/>
          <w:szCs w:val="24"/>
        </w:rPr>
        <w:t xml:space="preserve">, Diego (2008) </w:t>
      </w:r>
      <w:r w:rsidRPr="00AD5118">
        <w:rPr>
          <w:rFonts w:ascii="Times New Roman" w:hAnsi="Times New Roman"/>
          <w:bCs/>
          <w:i/>
          <w:sz w:val="24"/>
          <w:szCs w:val="24"/>
        </w:rPr>
        <w:t>Ethnicity and Violence</w:t>
      </w:r>
      <w:r w:rsidRPr="00AD5118">
        <w:rPr>
          <w:rFonts w:ascii="Times New Roman" w:hAnsi="Times New Roman"/>
          <w:bCs/>
          <w:sz w:val="24"/>
          <w:szCs w:val="24"/>
        </w:rPr>
        <w:t xml:space="preserve">. London: </w:t>
      </w:r>
      <w:proofErr w:type="spellStart"/>
      <w:r w:rsidRPr="00AD5118">
        <w:rPr>
          <w:rFonts w:ascii="Times New Roman" w:hAnsi="Times New Roman"/>
          <w:bCs/>
          <w:sz w:val="24"/>
          <w:szCs w:val="24"/>
        </w:rPr>
        <w:t>Routledge</w:t>
      </w:r>
      <w:proofErr w:type="spellEnd"/>
      <w:r w:rsidRPr="00AD5118">
        <w:rPr>
          <w:rFonts w:ascii="Times New Roman" w:hAnsi="Times New Roman"/>
          <w:bCs/>
          <w:sz w:val="24"/>
          <w:szCs w:val="24"/>
        </w:rPr>
        <w:t xml:space="preserve">. </w:t>
      </w:r>
    </w:p>
    <w:p w:rsidR="00121999" w:rsidRDefault="00121999" w:rsidP="00121999">
      <w:pPr>
        <w:spacing w:after="0"/>
        <w:rPr>
          <w:rFonts w:ascii="Times New Roman" w:hAnsi="Times New Roman"/>
          <w:sz w:val="24"/>
          <w:szCs w:val="24"/>
        </w:rPr>
      </w:pPr>
    </w:p>
    <w:p w:rsidR="0021746F" w:rsidRPr="00AD5118" w:rsidRDefault="0021746F" w:rsidP="00121999">
      <w:pPr>
        <w:spacing w:after="0"/>
        <w:rPr>
          <w:rFonts w:ascii="Times New Roman" w:hAnsi="Times New Roman"/>
          <w:sz w:val="24"/>
          <w:szCs w:val="24"/>
        </w:rPr>
      </w:pPr>
      <w:proofErr w:type="spellStart"/>
      <w:r w:rsidRPr="00AD5118">
        <w:rPr>
          <w:rFonts w:ascii="Times New Roman" w:hAnsi="Times New Roman"/>
          <w:sz w:val="24"/>
          <w:szCs w:val="24"/>
        </w:rPr>
        <w:t>Pedahzur</w:t>
      </w:r>
      <w:proofErr w:type="spellEnd"/>
      <w:r w:rsidRPr="00AD5118">
        <w:rPr>
          <w:rFonts w:ascii="Times New Roman" w:hAnsi="Times New Roman"/>
          <w:sz w:val="24"/>
          <w:szCs w:val="24"/>
        </w:rPr>
        <w:t xml:space="preserve">, Ami (2004) ‘The defending democracy and the extreme right: A Comparative Analysis’ in Roger </w:t>
      </w:r>
      <w:proofErr w:type="spellStart"/>
      <w:r w:rsidRPr="00AD5118">
        <w:rPr>
          <w:rFonts w:ascii="Times New Roman" w:hAnsi="Times New Roman"/>
          <w:sz w:val="24"/>
          <w:szCs w:val="24"/>
        </w:rPr>
        <w:t>Eatwell</w:t>
      </w:r>
      <w:proofErr w:type="spellEnd"/>
      <w:r w:rsidRPr="00AD5118">
        <w:rPr>
          <w:rFonts w:ascii="Times New Roman" w:hAnsi="Times New Roman"/>
          <w:sz w:val="24"/>
          <w:szCs w:val="24"/>
        </w:rPr>
        <w:t xml:space="preserve"> and </w:t>
      </w:r>
      <w:proofErr w:type="spellStart"/>
      <w:r w:rsidRPr="00AD5118">
        <w:rPr>
          <w:rFonts w:ascii="Times New Roman" w:hAnsi="Times New Roman"/>
          <w:sz w:val="24"/>
          <w:szCs w:val="24"/>
        </w:rPr>
        <w:t>Cas</w:t>
      </w:r>
      <w:proofErr w:type="spellEnd"/>
      <w:r w:rsidRPr="00AD5118">
        <w:rPr>
          <w:rFonts w:ascii="Times New Roman" w:hAnsi="Times New Roman"/>
          <w:sz w:val="24"/>
          <w:szCs w:val="24"/>
        </w:rPr>
        <w:t xml:space="preserve"> </w:t>
      </w:r>
      <w:proofErr w:type="spellStart"/>
      <w:r w:rsidRPr="00AD5118">
        <w:rPr>
          <w:rFonts w:ascii="Times New Roman" w:hAnsi="Times New Roman"/>
          <w:sz w:val="24"/>
          <w:szCs w:val="24"/>
        </w:rPr>
        <w:t>Mudde</w:t>
      </w:r>
      <w:proofErr w:type="spellEnd"/>
      <w:r w:rsidRPr="00AD5118">
        <w:rPr>
          <w:rFonts w:ascii="Times New Roman" w:hAnsi="Times New Roman"/>
          <w:sz w:val="24"/>
          <w:szCs w:val="24"/>
        </w:rPr>
        <w:t xml:space="preserve"> (</w:t>
      </w:r>
      <w:proofErr w:type="spellStart"/>
      <w:r w:rsidRPr="00AD5118">
        <w:rPr>
          <w:rFonts w:ascii="Times New Roman" w:hAnsi="Times New Roman"/>
          <w:sz w:val="24"/>
          <w:szCs w:val="24"/>
        </w:rPr>
        <w:t>eds</w:t>
      </w:r>
      <w:proofErr w:type="spellEnd"/>
      <w:r w:rsidRPr="00AD5118">
        <w:rPr>
          <w:rFonts w:ascii="Times New Roman" w:hAnsi="Times New Roman"/>
          <w:sz w:val="24"/>
          <w:szCs w:val="24"/>
        </w:rPr>
        <w:t xml:space="preserve">) </w:t>
      </w:r>
      <w:r w:rsidRPr="00AD5118">
        <w:rPr>
          <w:rFonts w:ascii="Times New Roman" w:hAnsi="Times New Roman"/>
          <w:i/>
          <w:sz w:val="24"/>
          <w:szCs w:val="24"/>
        </w:rPr>
        <w:t>Western Democracies and the New Extreme Right Challenge</w:t>
      </w:r>
      <w:r w:rsidRPr="00AD5118">
        <w:rPr>
          <w:rFonts w:ascii="Times New Roman" w:hAnsi="Times New Roman"/>
          <w:sz w:val="24"/>
          <w:szCs w:val="24"/>
        </w:rPr>
        <w:t xml:space="preserve">. </w:t>
      </w:r>
      <w:proofErr w:type="spellStart"/>
      <w:r w:rsidRPr="00AD5118">
        <w:rPr>
          <w:rFonts w:ascii="Times New Roman" w:hAnsi="Times New Roman"/>
          <w:sz w:val="24"/>
          <w:szCs w:val="24"/>
        </w:rPr>
        <w:t>Routledge</w:t>
      </w:r>
      <w:proofErr w:type="spellEnd"/>
      <w:r w:rsidRPr="00AD5118">
        <w:rPr>
          <w:rFonts w:ascii="Times New Roman" w:hAnsi="Times New Roman"/>
          <w:sz w:val="24"/>
          <w:szCs w:val="24"/>
        </w:rPr>
        <w:t>: London.</w:t>
      </w:r>
    </w:p>
    <w:p w:rsidR="00121999" w:rsidRDefault="00121999" w:rsidP="00121999">
      <w:pPr>
        <w:spacing w:after="0"/>
        <w:rPr>
          <w:rFonts w:ascii="Times New Roman" w:hAnsi="Times New Roman"/>
          <w:sz w:val="24"/>
          <w:szCs w:val="24"/>
          <w:lang w:val="en-US"/>
        </w:rPr>
      </w:pPr>
    </w:p>
    <w:p w:rsidR="0021746F" w:rsidRPr="00AD5118" w:rsidRDefault="0021746F" w:rsidP="00121999">
      <w:pPr>
        <w:spacing w:after="0"/>
        <w:rPr>
          <w:rFonts w:ascii="Times New Roman" w:hAnsi="Times New Roman"/>
          <w:sz w:val="24"/>
          <w:szCs w:val="24"/>
          <w:lang w:val="en-US"/>
        </w:rPr>
      </w:pPr>
      <w:r w:rsidRPr="00AD5118">
        <w:rPr>
          <w:rFonts w:ascii="Times New Roman" w:hAnsi="Times New Roman"/>
          <w:sz w:val="24"/>
          <w:szCs w:val="24"/>
          <w:lang w:val="en-US"/>
        </w:rPr>
        <w:t>Richards</w:t>
      </w:r>
      <w:r w:rsidR="00FA62D0">
        <w:rPr>
          <w:rFonts w:ascii="Times New Roman" w:hAnsi="Times New Roman"/>
          <w:sz w:val="24"/>
          <w:szCs w:val="24"/>
          <w:lang w:val="en-US"/>
        </w:rPr>
        <w:t>, A (</w:t>
      </w:r>
      <w:r w:rsidRPr="00AD5118">
        <w:rPr>
          <w:rFonts w:ascii="Times New Roman" w:hAnsi="Times New Roman"/>
          <w:sz w:val="24"/>
          <w:szCs w:val="24"/>
          <w:lang w:val="en-US"/>
        </w:rPr>
        <w:t>2001</w:t>
      </w:r>
      <w:r w:rsidR="00FA62D0">
        <w:rPr>
          <w:rFonts w:ascii="Times New Roman" w:hAnsi="Times New Roman"/>
          <w:sz w:val="24"/>
          <w:szCs w:val="24"/>
          <w:lang w:val="en-US"/>
        </w:rPr>
        <w:t xml:space="preserve">) Terrorist Groups and Political Fronts: The IRA, Sinn Fein, the Peace Process and Democracy, </w:t>
      </w:r>
      <w:r w:rsidR="00FA62D0" w:rsidRPr="00FA62D0">
        <w:rPr>
          <w:rFonts w:ascii="Times New Roman" w:hAnsi="Times New Roman"/>
          <w:i/>
          <w:sz w:val="24"/>
          <w:szCs w:val="24"/>
          <w:lang w:val="en-US"/>
        </w:rPr>
        <w:t>Terrorism and Political Violence</w:t>
      </w:r>
      <w:r w:rsidR="00FA62D0">
        <w:rPr>
          <w:rFonts w:ascii="Times New Roman" w:hAnsi="Times New Roman"/>
          <w:sz w:val="24"/>
          <w:szCs w:val="24"/>
          <w:lang w:val="en-US"/>
        </w:rPr>
        <w:t>, 13:4, 72-89</w:t>
      </w:r>
    </w:p>
    <w:p w:rsidR="00121999" w:rsidRDefault="00121999" w:rsidP="00121999">
      <w:pPr>
        <w:spacing w:after="0"/>
        <w:rPr>
          <w:rFonts w:ascii="Times New Roman" w:hAnsi="Times New Roman"/>
          <w:sz w:val="24"/>
          <w:szCs w:val="24"/>
          <w:lang w:val="en-US"/>
        </w:rPr>
      </w:pPr>
    </w:p>
    <w:p w:rsidR="0021746F" w:rsidRPr="00256436" w:rsidRDefault="0021746F" w:rsidP="00121999">
      <w:pPr>
        <w:spacing w:after="0"/>
        <w:rPr>
          <w:rFonts w:ascii="Times New Roman" w:hAnsi="Times New Roman"/>
          <w:sz w:val="24"/>
          <w:szCs w:val="24"/>
          <w:lang w:val="en-US"/>
        </w:rPr>
      </w:pPr>
      <w:r w:rsidRPr="00256436">
        <w:rPr>
          <w:rFonts w:ascii="Times New Roman" w:hAnsi="Times New Roman"/>
          <w:sz w:val="24"/>
          <w:szCs w:val="24"/>
          <w:lang w:val="en-US"/>
        </w:rPr>
        <w:t xml:space="preserve">Sánchez Cuenca, </w:t>
      </w:r>
      <w:r w:rsidR="00FA62D0">
        <w:rPr>
          <w:rFonts w:ascii="Times New Roman" w:hAnsi="Times New Roman"/>
          <w:sz w:val="24"/>
          <w:szCs w:val="24"/>
          <w:lang w:val="en-US"/>
        </w:rPr>
        <w:t>I (</w:t>
      </w:r>
      <w:r w:rsidRPr="00256436">
        <w:rPr>
          <w:rFonts w:ascii="Times New Roman" w:hAnsi="Times New Roman"/>
          <w:sz w:val="24"/>
          <w:szCs w:val="24"/>
          <w:lang w:val="en-US"/>
        </w:rPr>
        <w:t>2007</w:t>
      </w:r>
      <w:r w:rsidR="00FA62D0">
        <w:rPr>
          <w:rFonts w:ascii="Times New Roman" w:hAnsi="Times New Roman"/>
          <w:sz w:val="24"/>
          <w:szCs w:val="24"/>
          <w:lang w:val="en-US"/>
        </w:rPr>
        <w:t xml:space="preserve">) The Dynamics of Nationalist Terrorism: ETA and the IRA, </w:t>
      </w:r>
      <w:r w:rsidR="00FA62D0" w:rsidRPr="00FA62D0">
        <w:rPr>
          <w:rFonts w:ascii="Times New Roman" w:hAnsi="Times New Roman"/>
          <w:i/>
          <w:sz w:val="24"/>
          <w:szCs w:val="24"/>
          <w:lang w:val="en-US"/>
        </w:rPr>
        <w:t>Terrorism and Political Violence</w:t>
      </w:r>
      <w:r w:rsidR="00FA62D0">
        <w:rPr>
          <w:rFonts w:ascii="Times New Roman" w:hAnsi="Times New Roman"/>
          <w:sz w:val="24"/>
          <w:szCs w:val="24"/>
          <w:lang w:val="en-US"/>
        </w:rPr>
        <w:t>, 19:3, 289-306.</w:t>
      </w:r>
    </w:p>
    <w:p w:rsidR="00121999" w:rsidRDefault="00121999" w:rsidP="00121999">
      <w:pPr>
        <w:spacing w:after="0"/>
        <w:jc w:val="both"/>
        <w:rPr>
          <w:rFonts w:ascii="Times New Roman" w:hAnsi="Times New Roman"/>
          <w:sz w:val="24"/>
          <w:szCs w:val="24"/>
        </w:rPr>
      </w:pPr>
    </w:p>
    <w:p w:rsidR="0021746F" w:rsidRPr="00256436" w:rsidRDefault="0021746F" w:rsidP="00121999">
      <w:pPr>
        <w:spacing w:after="0"/>
        <w:jc w:val="both"/>
        <w:rPr>
          <w:rFonts w:ascii="Times New Roman" w:hAnsi="Times New Roman"/>
          <w:sz w:val="24"/>
          <w:szCs w:val="24"/>
        </w:rPr>
      </w:pPr>
      <w:r w:rsidRPr="00256436">
        <w:rPr>
          <w:rFonts w:ascii="Times New Roman" w:hAnsi="Times New Roman"/>
          <w:sz w:val="24"/>
          <w:szCs w:val="24"/>
        </w:rPr>
        <w:t xml:space="preserve">Schumpeter, J (1947) </w:t>
      </w:r>
      <w:r w:rsidRPr="00256436">
        <w:rPr>
          <w:rFonts w:ascii="Times New Roman" w:hAnsi="Times New Roman"/>
          <w:i/>
          <w:sz w:val="24"/>
          <w:szCs w:val="24"/>
        </w:rPr>
        <w:t xml:space="preserve">Capitalism, Socialism and Democracy </w:t>
      </w:r>
      <w:r w:rsidRPr="00256436">
        <w:rPr>
          <w:rFonts w:ascii="Times New Roman" w:hAnsi="Times New Roman"/>
          <w:sz w:val="24"/>
          <w:szCs w:val="24"/>
        </w:rPr>
        <w:t xml:space="preserve">(Allen and </w:t>
      </w:r>
      <w:proofErr w:type="spellStart"/>
      <w:r w:rsidRPr="00256436">
        <w:rPr>
          <w:rFonts w:ascii="Times New Roman" w:hAnsi="Times New Roman"/>
          <w:sz w:val="24"/>
          <w:szCs w:val="24"/>
        </w:rPr>
        <w:t>Unwin</w:t>
      </w:r>
      <w:proofErr w:type="spellEnd"/>
      <w:r w:rsidRPr="00256436">
        <w:rPr>
          <w:rFonts w:ascii="Times New Roman" w:hAnsi="Times New Roman"/>
          <w:sz w:val="24"/>
          <w:szCs w:val="24"/>
        </w:rPr>
        <w:t>)</w:t>
      </w:r>
    </w:p>
    <w:p w:rsidR="00121999" w:rsidRDefault="00121999" w:rsidP="00121999">
      <w:pPr>
        <w:spacing w:after="0"/>
        <w:rPr>
          <w:rFonts w:ascii="Times New Roman" w:hAnsi="Times New Roman"/>
          <w:sz w:val="24"/>
          <w:szCs w:val="24"/>
        </w:rPr>
      </w:pPr>
    </w:p>
    <w:p w:rsidR="00FA62D0" w:rsidRPr="00FA62D0" w:rsidRDefault="00FA62D0" w:rsidP="00121999">
      <w:pPr>
        <w:spacing w:after="0"/>
        <w:rPr>
          <w:rFonts w:ascii="Times New Roman" w:hAnsi="Times New Roman"/>
          <w:sz w:val="24"/>
          <w:szCs w:val="24"/>
        </w:rPr>
      </w:pPr>
      <w:r w:rsidRPr="00FA62D0">
        <w:rPr>
          <w:rFonts w:ascii="Times New Roman" w:hAnsi="Times New Roman"/>
          <w:sz w:val="24"/>
          <w:szCs w:val="24"/>
        </w:rPr>
        <w:t xml:space="preserve">Schmidt, Vivien A (2008) ‘Discursive institutionalism: The Explanatory Power of Ideas and Discourse’, </w:t>
      </w:r>
      <w:r w:rsidRPr="00FA62D0">
        <w:rPr>
          <w:rFonts w:ascii="Times New Roman" w:hAnsi="Times New Roman"/>
          <w:i/>
          <w:sz w:val="24"/>
          <w:szCs w:val="24"/>
        </w:rPr>
        <w:t>Annual Review of Political Science</w:t>
      </w:r>
      <w:r w:rsidRPr="00FA62D0">
        <w:rPr>
          <w:rFonts w:ascii="Times New Roman" w:hAnsi="Times New Roman"/>
          <w:sz w:val="24"/>
          <w:szCs w:val="24"/>
        </w:rPr>
        <w:t>, 11: 303-26.</w:t>
      </w:r>
    </w:p>
    <w:p w:rsidR="00121999" w:rsidRPr="00033297" w:rsidRDefault="00121999" w:rsidP="00121999">
      <w:pPr>
        <w:spacing w:after="0"/>
        <w:rPr>
          <w:rFonts w:ascii="Times New Roman" w:hAnsi="Times New Roman"/>
          <w:sz w:val="24"/>
          <w:szCs w:val="24"/>
        </w:rPr>
      </w:pPr>
    </w:p>
    <w:p w:rsidR="0021746F" w:rsidRPr="00AD5118" w:rsidRDefault="0021746F" w:rsidP="00121999">
      <w:pPr>
        <w:spacing w:after="0"/>
        <w:rPr>
          <w:rFonts w:ascii="Times New Roman" w:hAnsi="Times New Roman"/>
          <w:sz w:val="24"/>
          <w:szCs w:val="24"/>
        </w:rPr>
      </w:pPr>
      <w:r w:rsidRPr="00013600">
        <w:rPr>
          <w:rFonts w:ascii="Times New Roman" w:hAnsi="Times New Roman"/>
          <w:sz w:val="24"/>
          <w:szCs w:val="24"/>
          <w:lang w:val="es-ES"/>
        </w:rPr>
        <w:t xml:space="preserve">Tajadura, Javier and Eduardo </w:t>
      </w:r>
      <w:proofErr w:type="spellStart"/>
      <w:r w:rsidRPr="00013600">
        <w:rPr>
          <w:rFonts w:ascii="Times New Roman" w:hAnsi="Times New Roman"/>
          <w:sz w:val="24"/>
          <w:szCs w:val="24"/>
          <w:lang w:val="es-ES"/>
        </w:rPr>
        <w:t>Vírgala</w:t>
      </w:r>
      <w:proofErr w:type="spellEnd"/>
      <w:r w:rsidRPr="00013600">
        <w:rPr>
          <w:rFonts w:ascii="Times New Roman" w:hAnsi="Times New Roman"/>
          <w:sz w:val="24"/>
          <w:szCs w:val="24"/>
          <w:lang w:val="es-ES"/>
        </w:rPr>
        <w:t xml:space="preserve"> (2008) ‘</w:t>
      </w:r>
      <w:proofErr w:type="spellStart"/>
      <w:r w:rsidRPr="00013600">
        <w:rPr>
          <w:rFonts w:ascii="Times New Roman" w:hAnsi="Times New Roman"/>
          <w:sz w:val="24"/>
          <w:szCs w:val="24"/>
          <w:lang w:val="es-ES"/>
        </w:rPr>
        <w:t>Espana</w:t>
      </w:r>
      <w:proofErr w:type="spellEnd"/>
      <w:r w:rsidRPr="00013600">
        <w:rPr>
          <w:rFonts w:ascii="Times New Roman" w:hAnsi="Times New Roman"/>
          <w:sz w:val="24"/>
          <w:szCs w:val="24"/>
          <w:lang w:val="es-ES"/>
        </w:rPr>
        <w:t xml:space="preserve">’, pp. 17-117, in Javier Corcuera </w:t>
      </w:r>
      <w:r w:rsidRPr="00013600">
        <w:rPr>
          <w:rFonts w:ascii="Times New Roman" w:hAnsi="Times New Roman"/>
          <w:i/>
          <w:sz w:val="24"/>
          <w:szCs w:val="24"/>
          <w:lang w:val="es-ES"/>
        </w:rPr>
        <w:t xml:space="preserve">et al, </w:t>
      </w:r>
      <w:r w:rsidRPr="00013600">
        <w:rPr>
          <w:rFonts w:ascii="Times New Roman" w:hAnsi="Times New Roman"/>
          <w:sz w:val="24"/>
          <w:szCs w:val="24"/>
          <w:lang w:val="es-ES"/>
        </w:rPr>
        <w:t>(</w:t>
      </w:r>
      <w:proofErr w:type="spellStart"/>
      <w:r w:rsidRPr="00013600">
        <w:rPr>
          <w:rFonts w:ascii="Times New Roman" w:hAnsi="Times New Roman"/>
          <w:sz w:val="24"/>
          <w:szCs w:val="24"/>
          <w:lang w:val="es-ES"/>
        </w:rPr>
        <w:t>eds</w:t>
      </w:r>
      <w:proofErr w:type="spellEnd"/>
      <w:r w:rsidRPr="00013600">
        <w:rPr>
          <w:rFonts w:ascii="Times New Roman" w:hAnsi="Times New Roman"/>
          <w:sz w:val="24"/>
          <w:szCs w:val="24"/>
          <w:lang w:val="es-ES"/>
        </w:rPr>
        <w:t xml:space="preserve">) </w:t>
      </w:r>
      <w:r w:rsidRPr="00013600">
        <w:rPr>
          <w:rFonts w:ascii="Times New Roman" w:hAnsi="Times New Roman"/>
          <w:i/>
          <w:sz w:val="24"/>
          <w:szCs w:val="24"/>
          <w:lang w:val="es-ES"/>
        </w:rPr>
        <w:t>La ilegalización de partidos políticos en las democracias occidentales</w:t>
      </w:r>
      <w:r w:rsidRPr="00013600">
        <w:rPr>
          <w:rFonts w:ascii="Times New Roman" w:hAnsi="Times New Roman"/>
          <w:sz w:val="24"/>
          <w:szCs w:val="24"/>
          <w:lang w:val="es-ES"/>
        </w:rPr>
        <w:t xml:space="preserve">. </w:t>
      </w:r>
      <w:r w:rsidRPr="00AD5118">
        <w:rPr>
          <w:rFonts w:ascii="Times New Roman" w:hAnsi="Times New Roman"/>
          <w:sz w:val="24"/>
          <w:szCs w:val="24"/>
        </w:rPr>
        <w:t xml:space="preserve">Madrid. </w:t>
      </w:r>
      <w:proofErr w:type="spellStart"/>
      <w:r w:rsidRPr="00AD5118">
        <w:rPr>
          <w:rFonts w:ascii="Times New Roman" w:hAnsi="Times New Roman"/>
          <w:sz w:val="24"/>
          <w:szCs w:val="24"/>
        </w:rPr>
        <w:t>Dykinson</w:t>
      </w:r>
      <w:proofErr w:type="spellEnd"/>
      <w:r w:rsidRPr="00AD5118">
        <w:rPr>
          <w:rFonts w:ascii="Times New Roman" w:hAnsi="Times New Roman"/>
          <w:sz w:val="24"/>
          <w:szCs w:val="24"/>
        </w:rPr>
        <w:t>.</w:t>
      </w:r>
    </w:p>
    <w:p w:rsidR="00121999" w:rsidRDefault="00121999" w:rsidP="00121999">
      <w:pPr>
        <w:spacing w:after="0"/>
        <w:rPr>
          <w:rFonts w:ascii="Times New Roman" w:hAnsi="Times New Roman"/>
          <w:sz w:val="24"/>
          <w:szCs w:val="24"/>
        </w:rPr>
      </w:pPr>
    </w:p>
    <w:p w:rsidR="0021746F" w:rsidRPr="00AD5118" w:rsidRDefault="0021746F" w:rsidP="00121999">
      <w:pPr>
        <w:spacing w:after="0"/>
        <w:rPr>
          <w:rFonts w:ascii="Times New Roman" w:hAnsi="Times New Roman"/>
          <w:sz w:val="24"/>
          <w:szCs w:val="24"/>
        </w:rPr>
      </w:pPr>
      <w:proofErr w:type="spellStart"/>
      <w:r w:rsidRPr="00AD5118">
        <w:rPr>
          <w:rFonts w:ascii="Times New Roman" w:hAnsi="Times New Roman"/>
          <w:sz w:val="24"/>
          <w:szCs w:val="24"/>
        </w:rPr>
        <w:t>Thiel</w:t>
      </w:r>
      <w:proofErr w:type="spellEnd"/>
      <w:r w:rsidRPr="00AD5118">
        <w:rPr>
          <w:rFonts w:ascii="Times New Roman" w:hAnsi="Times New Roman"/>
          <w:sz w:val="24"/>
          <w:szCs w:val="24"/>
        </w:rPr>
        <w:t>, Markus (</w:t>
      </w:r>
      <w:proofErr w:type="spellStart"/>
      <w:r w:rsidRPr="00AD5118">
        <w:rPr>
          <w:rFonts w:ascii="Times New Roman" w:hAnsi="Times New Roman"/>
          <w:sz w:val="24"/>
          <w:szCs w:val="24"/>
        </w:rPr>
        <w:t>ed</w:t>
      </w:r>
      <w:proofErr w:type="spellEnd"/>
      <w:r w:rsidRPr="00AD5118">
        <w:rPr>
          <w:rFonts w:ascii="Times New Roman" w:hAnsi="Times New Roman"/>
          <w:sz w:val="24"/>
          <w:szCs w:val="24"/>
        </w:rPr>
        <w:t xml:space="preserve">) </w:t>
      </w:r>
      <w:r w:rsidRPr="00AD5118">
        <w:rPr>
          <w:rFonts w:ascii="Times New Roman" w:hAnsi="Times New Roman"/>
          <w:i/>
          <w:sz w:val="24"/>
          <w:szCs w:val="24"/>
        </w:rPr>
        <w:t>The ‘militant democracy’ principle in modern democracies</w:t>
      </w:r>
      <w:r w:rsidRPr="00AD5118">
        <w:rPr>
          <w:rFonts w:ascii="Times New Roman" w:hAnsi="Times New Roman"/>
          <w:sz w:val="24"/>
          <w:szCs w:val="24"/>
        </w:rPr>
        <w:t xml:space="preserve">. Surrey, </w:t>
      </w:r>
      <w:proofErr w:type="spellStart"/>
      <w:r w:rsidRPr="00AD5118">
        <w:rPr>
          <w:rFonts w:ascii="Times New Roman" w:hAnsi="Times New Roman"/>
          <w:sz w:val="24"/>
          <w:szCs w:val="24"/>
        </w:rPr>
        <w:t>Ashgate</w:t>
      </w:r>
      <w:proofErr w:type="spellEnd"/>
      <w:r w:rsidRPr="00AD5118">
        <w:rPr>
          <w:rFonts w:ascii="Times New Roman" w:hAnsi="Times New Roman"/>
          <w:sz w:val="24"/>
          <w:szCs w:val="24"/>
        </w:rPr>
        <w:t>.</w:t>
      </w:r>
    </w:p>
    <w:p w:rsidR="00121999" w:rsidRDefault="00121999" w:rsidP="00121999">
      <w:pPr>
        <w:spacing w:after="0"/>
        <w:rPr>
          <w:rFonts w:ascii="Times New Roman" w:hAnsi="Times New Roman"/>
          <w:sz w:val="24"/>
          <w:szCs w:val="24"/>
          <w:lang w:val="en-US"/>
        </w:rPr>
      </w:pPr>
    </w:p>
    <w:p w:rsidR="0021746F" w:rsidRPr="00AD5118" w:rsidRDefault="0021746F" w:rsidP="00121999">
      <w:pPr>
        <w:spacing w:after="0"/>
        <w:rPr>
          <w:rFonts w:ascii="Times New Roman" w:hAnsi="Times New Roman"/>
          <w:sz w:val="24"/>
          <w:szCs w:val="24"/>
          <w:lang w:val="en-US"/>
        </w:rPr>
      </w:pPr>
      <w:proofErr w:type="spellStart"/>
      <w:r w:rsidRPr="00AD5118">
        <w:rPr>
          <w:rFonts w:ascii="Times New Roman" w:hAnsi="Times New Roman"/>
          <w:sz w:val="24"/>
          <w:szCs w:val="24"/>
          <w:lang w:val="en-US"/>
        </w:rPr>
        <w:t>Tonge</w:t>
      </w:r>
      <w:proofErr w:type="spellEnd"/>
      <w:r w:rsidR="00FA62D0">
        <w:rPr>
          <w:rFonts w:ascii="Times New Roman" w:hAnsi="Times New Roman"/>
          <w:sz w:val="24"/>
          <w:szCs w:val="24"/>
          <w:lang w:val="en-US"/>
        </w:rPr>
        <w:t xml:space="preserve">, J (2006) </w:t>
      </w:r>
      <w:r w:rsidR="00FA62D0" w:rsidRPr="00FA62D0">
        <w:rPr>
          <w:rFonts w:ascii="Times New Roman" w:hAnsi="Times New Roman"/>
          <w:i/>
          <w:sz w:val="24"/>
          <w:szCs w:val="24"/>
          <w:lang w:val="en-US"/>
        </w:rPr>
        <w:t>Northern Ireland</w:t>
      </w:r>
      <w:r w:rsidR="00FA62D0">
        <w:rPr>
          <w:rFonts w:ascii="Times New Roman" w:hAnsi="Times New Roman"/>
          <w:sz w:val="24"/>
          <w:szCs w:val="24"/>
          <w:lang w:val="en-US"/>
        </w:rPr>
        <w:t xml:space="preserve"> (Polity Press: Cambridge)</w:t>
      </w:r>
    </w:p>
    <w:p w:rsidR="00121999" w:rsidRDefault="00121999" w:rsidP="00121999">
      <w:pPr>
        <w:spacing w:after="0"/>
        <w:rPr>
          <w:rFonts w:ascii="Times New Roman" w:hAnsi="Times New Roman"/>
          <w:sz w:val="24"/>
          <w:szCs w:val="24"/>
        </w:rPr>
      </w:pPr>
    </w:p>
    <w:p w:rsidR="0021746F" w:rsidRPr="00AD5118" w:rsidRDefault="0021746F" w:rsidP="00121999">
      <w:pPr>
        <w:spacing w:after="0"/>
        <w:rPr>
          <w:rFonts w:ascii="Times New Roman" w:hAnsi="Times New Roman"/>
          <w:sz w:val="24"/>
          <w:szCs w:val="24"/>
        </w:rPr>
      </w:pPr>
      <w:r w:rsidRPr="00AD5118">
        <w:rPr>
          <w:rFonts w:ascii="Times New Roman" w:hAnsi="Times New Roman"/>
          <w:sz w:val="24"/>
          <w:szCs w:val="24"/>
        </w:rPr>
        <w:t xml:space="preserve">Vidal, Carlos (2009) ‘Spain’ in Markus </w:t>
      </w:r>
      <w:proofErr w:type="spellStart"/>
      <w:r w:rsidRPr="00AD5118">
        <w:rPr>
          <w:rFonts w:ascii="Times New Roman" w:hAnsi="Times New Roman"/>
          <w:sz w:val="24"/>
          <w:szCs w:val="24"/>
        </w:rPr>
        <w:t>Thiel</w:t>
      </w:r>
      <w:proofErr w:type="spellEnd"/>
      <w:r w:rsidRPr="00AD5118">
        <w:rPr>
          <w:rFonts w:ascii="Times New Roman" w:hAnsi="Times New Roman"/>
          <w:sz w:val="24"/>
          <w:szCs w:val="24"/>
        </w:rPr>
        <w:t xml:space="preserve"> (ed.) </w:t>
      </w:r>
      <w:r w:rsidRPr="00AD5118">
        <w:rPr>
          <w:rFonts w:ascii="Times New Roman" w:hAnsi="Times New Roman"/>
          <w:i/>
          <w:sz w:val="24"/>
          <w:szCs w:val="24"/>
        </w:rPr>
        <w:t>The ‘militant democracy’ principle in modern democracies</w:t>
      </w:r>
      <w:r w:rsidRPr="00AD5118">
        <w:rPr>
          <w:rFonts w:ascii="Times New Roman" w:hAnsi="Times New Roman"/>
          <w:sz w:val="24"/>
          <w:szCs w:val="24"/>
        </w:rPr>
        <w:t xml:space="preserve">. Surrey: </w:t>
      </w:r>
      <w:proofErr w:type="spellStart"/>
      <w:r w:rsidRPr="00AD5118">
        <w:rPr>
          <w:rFonts w:ascii="Times New Roman" w:hAnsi="Times New Roman"/>
          <w:sz w:val="24"/>
          <w:szCs w:val="24"/>
        </w:rPr>
        <w:t>Ashgate</w:t>
      </w:r>
      <w:proofErr w:type="spellEnd"/>
      <w:r w:rsidRPr="00AD5118">
        <w:rPr>
          <w:rFonts w:ascii="Times New Roman" w:hAnsi="Times New Roman"/>
          <w:sz w:val="24"/>
          <w:szCs w:val="24"/>
        </w:rPr>
        <w:t>.</w:t>
      </w:r>
    </w:p>
    <w:p w:rsidR="0021746F" w:rsidRPr="00AD5118" w:rsidRDefault="0021746F" w:rsidP="00121999">
      <w:pPr>
        <w:spacing w:after="0"/>
        <w:rPr>
          <w:rFonts w:ascii="Times New Roman" w:hAnsi="Times New Roman"/>
          <w:sz w:val="24"/>
          <w:szCs w:val="24"/>
        </w:rPr>
      </w:pPr>
    </w:p>
    <w:sectPr w:rsidR="0021746F" w:rsidRPr="00AD5118" w:rsidSect="00960995">
      <w:footerReference w:type="default" r:id="rId1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EDA" w:rsidRDefault="00443EDA" w:rsidP="00B0617D">
      <w:pPr>
        <w:spacing w:after="0" w:line="240" w:lineRule="auto"/>
      </w:pPr>
      <w:r>
        <w:separator/>
      </w:r>
    </w:p>
  </w:endnote>
  <w:endnote w:type="continuationSeparator" w:id="0">
    <w:p w:rsidR="00443EDA" w:rsidRDefault="00443EDA" w:rsidP="00B061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EDA" w:rsidRDefault="00443EDA">
    <w:pPr>
      <w:pStyle w:val="Footer"/>
      <w:jc w:val="center"/>
    </w:pPr>
    <w:r>
      <w:fldChar w:fldCharType="begin"/>
    </w:r>
    <w:r>
      <w:instrText xml:space="preserve"> PAGE   \* MERGEFORMAT </w:instrText>
    </w:r>
    <w:r>
      <w:fldChar w:fldCharType="separate"/>
    </w:r>
    <w:r w:rsidR="00C43569">
      <w:rPr>
        <w:noProof/>
      </w:rPr>
      <w:t>1</w:t>
    </w:r>
    <w:r>
      <w:rPr>
        <w:noProof/>
      </w:rPr>
      <w:fldChar w:fldCharType="end"/>
    </w:r>
  </w:p>
  <w:p w:rsidR="00443EDA" w:rsidRDefault="00443E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EDA" w:rsidRDefault="00443EDA" w:rsidP="00B0617D">
      <w:pPr>
        <w:spacing w:after="0" w:line="240" w:lineRule="auto"/>
      </w:pPr>
      <w:r>
        <w:separator/>
      </w:r>
    </w:p>
  </w:footnote>
  <w:footnote w:type="continuationSeparator" w:id="0">
    <w:p w:rsidR="00443EDA" w:rsidRDefault="00443EDA" w:rsidP="00B0617D">
      <w:pPr>
        <w:spacing w:after="0" w:line="240" w:lineRule="auto"/>
      </w:pPr>
      <w:r>
        <w:continuationSeparator/>
      </w:r>
    </w:p>
  </w:footnote>
  <w:footnote w:id="1">
    <w:p w:rsidR="00443EDA" w:rsidRDefault="00443EDA" w:rsidP="00E72A5F">
      <w:pPr>
        <w:pStyle w:val="FootnoteText"/>
      </w:pPr>
      <w:r>
        <w:rPr>
          <w:rStyle w:val="FootnoteReference"/>
        </w:rPr>
        <w:footnoteRef/>
      </w:r>
      <w:r w:rsidRPr="00AF7898">
        <w:t xml:space="preserve"> </w:t>
      </w:r>
      <w:proofErr w:type="spellStart"/>
      <w:proofErr w:type="gramStart"/>
      <w:r w:rsidRPr="00AF7898">
        <w:rPr>
          <w:rFonts w:ascii="Times New Roman" w:hAnsi="Times New Roman"/>
          <w:i/>
        </w:rPr>
        <w:t>Ždanoka</w:t>
      </w:r>
      <w:proofErr w:type="spellEnd"/>
      <w:r w:rsidRPr="00AF7898">
        <w:rPr>
          <w:rFonts w:ascii="Times New Roman" w:hAnsi="Times New Roman"/>
          <w:i/>
        </w:rPr>
        <w:t xml:space="preserve"> v. Latvia</w:t>
      </w:r>
      <w:r w:rsidRPr="00AF7898">
        <w:rPr>
          <w:rFonts w:ascii="Times New Roman" w:hAnsi="Times New Roman"/>
        </w:rPr>
        <w:t xml:space="preserve">, </w:t>
      </w:r>
      <w:r w:rsidRPr="00AF7898">
        <w:rPr>
          <w:rStyle w:val="normal--char"/>
          <w:rFonts w:ascii="Times New Roman" w:hAnsi="Times New Roman"/>
          <w:i/>
          <w:iCs/>
        </w:rPr>
        <w:t xml:space="preserve">58278/00, </w:t>
      </w:r>
      <w:r w:rsidRPr="00AF7898">
        <w:rPr>
          <w:rFonts w:ascii="Times New Roman" w:hAnsi="Times New Roman"/>
        </w:rPr>
        <w:t>European Court of Human Rights, 2006.</w:t>
      </w:r>
      <w:proofErr w:type="gramEnd"/>
    </w:p>
  </w:footnote>
  <w:footnote w:id="2">
    <w:p w:rsidR="00443EDA" w:rsidRDefault="00443EDA" w:rsidP="003A0DD2">
      <w:pPr>
        <w:pStyle w:val="FootnoteText"/>
        <w:spacing w:after="0" w:line="240" w:lineRule="auto"/>
      </w:pPr>
      <w:r>
        <w:rPr>
          <w:rStyle w:val="FootnoteReference"/>
        </w:rPr>
        <w:footnoteRef/>
      </w:r>
      <w:r>
        <w:t xml:space="preserve"> </w:t>
      </w:r>
      <w:r w:rsidRPr="00847DBA">
        <w:rPr>
          <w:rFonts w:ascii="Times New Roman" w:hAnsi="Times New Roman"/>
        </w:rPr>
        <w:t xml:space="preserve">‘Sinn Fein Proclaimed’, </w:t>
      </w:r>
      <w:r w:rsidRPr="00847DBA">
        <w:rPr>
          <w:rFonts w:ascii="Times New Roman" w:hAnsi="Times New Roman"/>
          <w:i/>
        </w:rPr>
        <w:t>The Times</w:t>
      </w:r>
      <w:r w:rsidRPr="00847DBA">
        <w:rPr>
          <w:rFonts w:ascii="Times New Roman" w:hAnsi="Times New Roman"/>
        </w:rPr>
        <w:t>, 4 July 1918,  p. 7</w:t>
      </w:r>
    </w:p>
  </w:footnote>
  <w:footnote w:id="3">
    <w:p w:rsidR="00443EDA" w:rsidRDefault="00443EDA" w:rsidP="003A0DD2">
      <w:pPr>
        <w:spacing w:after="0" w:line="240" w:lineRule="auto"/>
      </w:pPr>
      <w:r w:rsidRPr="00847DBA">
        <w:rPr>
          <w:rStyle w:val="FootnoteReference"/>
          <w:sz w:val="20"/>
          <w:szCs w:val="20"/>
        </w:rPr>
        <w:footnoteRef/>
      </w:r>
      <w:r w:rsidRPr="00847DBA">
        <w:rPr>
          <w:rFonts w:ascii="Times New Roman" w:hAnsi="Times New Roman"/>
          <w:sz w:val="20"/>
          <w:szCs w:val="20"/>
        </w:rPr>
        <w:t xml:space="preserve"> </w:t>
      </w:r>
      <w:proofErr w:type="gramStart"/>
      <w:r w:rsidRPr="00847DBA">
        <w:rPr>
          <w:rFonts w:ascii="Times New Roman" w:hAnsi="Times New Roman"/>
          <w:sz w:val="20"/>
          <w:szCs w:val="20"/>
        </w:rPr>
        <w:t>‘Sinn Fein.</w:t>
      </w:r>
      <w:proofErr w:type="gramEnd"/>
      <w:r w:rsidRPr="00847DBA">
        <w:rPr>
          <w:rFonts w:ascii="Times New Roman" w:hAnsi="Times New Roman"/>
          <w:sz w:val="20"/>
          <w:szCs w:val="20"/>
        </w:rPr>
        <w:t xml:space="preserve"> </w:t>
      </w:r>
      <w:proofErr w:type="gramStart"/>
      <w:r w:rsidRPr="00847DBA">
        <w:rPr>
          <w:rFonts w:ascii="Times New Roman" w:hAnsi="Times New Roman"/>
          <w:sz w:val="20"/>
          <w:szCs w:val="20"/>
        </w:rPr>
        <w:t>Suppression all over Ireland.</w:t>
      </w:r>
      <w:proofErr w:type="gramEnd"/>
      <w:r w:rsidRPr="00847DBA">
        <w:rPr>
          <w:rFonts w:ascii="Times New Roman" w:hAnsi="Times New Roman"/>
          <w:sz w:val="20"/>
          <w:szCs w:val="20"/>
        </w:rPr>
        <w:t xml:space="preserve"> New Proclamation’, </w:t>
      </w:r>
      <w:proofErr w:type="gramStart"/>
      <w:r w:rsidRPr="00847DBA">
        <w:rPr>
          <w:rFonts w:ascii="Times New Roman" w:hAnsi="Times New Roman"/>
          <w:i/>
          <w:sz w:val="20"/>
          <w:szCs w:val="20"/>
        </w:rPr>
        <w:t>The</w:t>
      </w:r>
      <w:proofErr w:type="gramEnd"/>
      <w:r w:rsidRPr="00847DBA">
        <w:rPr>
          <w:rFonts w:ascii="Times New Roman" w:hAnsi="Times New Roman"/>
          <w:i/>
          <w:sz w:val="20"/>
          <w:szCs w:val="20"/>
        </w:rPr>
        <w:t xml:space="preserve"> Times</w:t>
      </w:r>
      <w:r w:rsidRPr="00847DBA">
        <w:rPr>
          <w:rFonts w:ascii="Times New Roman" w:hAnsi="Times New Roman"/>
          <w:sz w:val="20"/>
          <w:szCs w:val="20"/>
        </w:rPr>
        <w:t xml:space="preserve">, 27 November 1919, p. 14. However, as Campbell notes by the summer of 1920, ‘doubts were being voiced about the wisdom of having prohibited and suppressed Sinn Fein, largely because the ban was proving unworkable. In fact the party’s standing was considerably enhanced by results of the local elections of January and June 1920, while the activities of the IRA continued to grow’ (1994, 25) </w:t>
      </w:r>
      <w:proofErr w:type="gramStart"/>
      <w:r w:rsidRPr="00847DBA">
        <w:rPr>
          <w:rFonts w:ascii="Times New Roman" w:hAnsi="Times New Roman"/>
          <w:sz w:val="20"/>
          <w:szCs w:val="20"/>
        </w:rPr>
        <w:t>Of</w:t>
      </w:r>
      <w:proofErr w:type="gramEnd"/>
      <w:r w:rsidRPr="00847DBA">
        <w:rPr>
          <w:rFonts w:ascii="Times New Roman" w:hAnsi="Times New Roman"/>
          <w:sz w:val="20"/>
          <w:szCs w:val="20"/>
        </w:rPr>
        <w:t xml:space="preserve"> the 127 corporations and town councils, Sinn Fein controlled 72 completely and a further 26 in collaboration with other nationalists. The party dominated 28 out of 33 County Councils, 182 out of 206 Rural District Councils, and 128 of the 154 poor Law Boards (Campbell, 1994, 25). </w:t>
      </w:r>
    </w:p>
  </w:footnote>
  <w:footnote w:id="4">
    <w:p w:rsidR="00443EDA" w:rsidRDefault="00443EDA" w:rsidP="003A0DD2">
      <w:pPr>
        <w:pStyle w:val="FootnoteText"/>
        <w:spacing w:after="0" w:line="240" w:lineRule="auto"/>
      </w:pPr>
      <w:r w:rsidRPr="00847DBA">
        <w:rPr>
          <w:rStyle w:val="FootnoteReference"/>
        </w:rPr>
        <w:footnoteRef/>
      </w:r>
      <w:r w:rsidRPr="00847DBA">
        <w:rPr>
          <w:rFonts w:ascii="Times New Roman" w:hAnsi="Times New Roman"/>
        </w:rPr>
        <w:t xml:space="preserve"> </w:t>
      </w:r>
      <w:r w:rsidRPr="00847DBA">
        <w:rPr>
          <w:rFonts w:ascii="Times New Roman" w:hAnsi="Times New Roman"/>
          <w:i/>
        </w:rPr>
        <w:t>Belfast Gazette</w:t>
      </w:r>
      <w:r w:rsidRPr="00847DBA">
        <w:rPr>
          <w:rFonts w:ascii="Times New Roman" w:hAnsi="Times New Roman"/>
        </w:rPr>
        <w:t>, 26 May 1922, p. 445-6.</w:t>
      </w:r>
    </w:p>
  </w:footnote>
  <w:footnote w:id="5">
    <w:p w:rsidR="00443EDA" w:rsidRDefault="00443EDA" w:rsidP="003A0DD2">
      <w:pPr>
        <w:pStyle w:val="FootnoteText"/>
        <w:spacing w:after="0" w:line="240" w:lineRule="auto"/>
      </w:pPr>
      <w:r w:rsidRPr="00847DBA">
        <w:rPr>
          <w:rStyle w:val="FootnoteReference"/>
        </w:rPr>
        <w:footnoteRef/>
      </w:r>
      <w:r w:rsidRPr="00847DBA">
        <w:rPr>
          <w:rFonts w:ascii="Times New Roman" w:hAnsi="Times New Roman"/>
        </w:rPr>
        <w:t xml:space="preserve"> </w:t>
      </w:r>
      <w:proofErr w:type="gramStart"/>
      <w:r w:rsidRPr="00847DBA">
        <w:rPr>
          <w:rFonts w:ascii="Times New Roman" w:hAnsi="Times New Roman"/>
          <w:i/>
        </w:rPr>
        <w:t>Belfast Gazette</w:t>
      </w:r>
      <w:r w:rsidRPr="00847DBA">
        <w:rPr>
          <w:rFonts w:ascii="Times New Roman" w:hAnsi="Times New Roman"/>
        </w:rPr>
        <w:t>, 30 October 1931, p. 1092, no. 540, p 1092.</w:t>
      </w:r>
      <w:proofErr w:type="gramEnd"/>
    </w:p>
  </w:footnote>
  <w:footnote w:id="6">
    <w:p w:rsidR="00443EDA" w:rsidRDefault="00443EDA" w:rsidP="003A0DD2">
      <w:pPr>
        <w:pStyle w:val="FootnoteText"/>
        <w:spacing w:after="0" w:line="240" w:lineRule="auto"/>
      </w:pPr>
      <w:r w:rsidRPr="00847DBA">
        <w:rPr>
          <w:rStyle w:val="FootnoteReference"/>
        </w:rPr>
        <w:footnoteRef/>
      </w:r>
      <w:r w:rsidRPr="00847DBA">
        <w:rPr>
          <w:rFonts w:ascii="Times New Roman" w:hAnsi="Times New Roman"/>
        </w:rPr>
        <w:t xml:space="preserve"> </w:t>
      </w:r>
      <w:proofErr w:type="gramStart"/>
      <w:r w:rsidRPr="00847DBA">
        <w:rPr>
          <w:rFonts w:ascii="Times New Roman" w:hAnsi="Times New Roman"/>
          <w:i/>
        </w:rPr>
        <w:t>Belfast Gazette</w:t>
      </w:r>
      <w:r w:rsidRPr="00847DBA">
        <w:rPr>
          <w:rFonts w:ascii="Times New Roman" w:hAnsi="Times New Roman"/>
        </w:rPr>
        <w:t>, 17 April 1936, p 137-8, no. 773.</w:t>
      </w:r>
      <w:proofErr w:type="gramEnd"/>
    </w:p>
  </w:footnote>
  <w:footnote w:id="7">
    <w:p w:rsidR="00443EDA" w:rsidRDefault="00443EDA" w:rsidP="003A0DD2">
      <w:pPr>
        <w:pStyle w:val="FootnoteText"/>
        <w:spacing w:after="0" w:line="240" w:lineRule="auto"/>
      </w:pPr>
      <w:r w:rsidRPr="00847DBA">
        <w:rPr>
          <w:rStyle w:val="FootnoteReference"/>
        </w:rPr>
        <w:footnoteRef/>
      </w:r>
      <w:r w:rsidRPr="00847DBA">
        <w:rPr>
          <w:rFonts w:ascii="Times New Roman" w:hAnsi="Times New Roman"/>
        </w:rPr>
        <w:t xml:space="preserve"> </w:t>
      </w:r>
      <w:proofErr w:type="gramStart"/>
      <w:r w:rsidRPr="00847DBA">
        <w:rPr>
          <w:rFonts w:ascii="Times New Roman" w:hAnsi="Times New Roman"/>
        </w:rPr>
        <w:t xml:space="preserve">Standing Rules and Orders </w:t>
      </w:r>
      <w:r>
        <w:rPr>
          <w:rFonts w:ascii="Times New Roman" w:hAnsi="Times New Roman"/>
        </w:rPr>
        <w:t xml:space="preserve">(SRO) </w:t>
      </w:r>
      <w:r w:rsidRPr="00847DBA">
        <w:rPr>
          <w:rFonts w:ascii="Times New Roman" w:hAnsi="Times New Roman"/>
        </w:rPr>
        <w:t>1956/199, 12 &amp; 13, 1956, Geo. V. c. 5 (N.I).</w:t>
      </w:r>
      <w:proofErr w:type="gramEnd"/>
    </w:p>
  </w:footnote>
  <w:footnote w:id="8">
    <w:p w:rsidR="00443EDA" w:rsidRDefault="00443EDA" w:rsidP="003A0DD2">
      <w:pPr>
        <w:pStyle w:val="FootnoteText"/>
        <w:spacing w:after="0" w:line="240" w:lineRule="auto"/>
      </w:pPr>
      <w:r w:rsidRPr="00847DBA">
        <w:rPr>
          <w:rStyle w:val="FootnoteReference"/>
        </w:rPr>
        <w:footnoteRef/>
      </w:r>
      <w:r w:rsidRPr="00847DBA">
        <w:rPr>
          <w:rFonts w:ascii="Times New Roman" w:hAnsi="Times New Roman"/>
        </w:rPr>
        <w:t xml:space="preserve"> </w:t>
      </w:r>
      <w:proofErr w:type="gramStart"/>
      <w:r w:rsidRPr="00847DBA">
        <w:rPr>
          <w:rFonts w:ascii="Times New Roman" w:hAnsi="Times New Roman"/>
          <w:i/>
        </w:rPr>
        <w:t>Belfast Gazette</w:t>
      </w:r>
      <w:r w:rsidRPr="00847DBA">
        <w:rPr>
          <w:rFonts w:ascii="Times New Roman" w:hAnsi="Times New Roman"/>
        </w:rPr>
        <w:t>, 10 March 1967, p. 92, no. 2408.</w:t>
      </w:r>
      <w:proofErr w:type="gramEnd"/>
      <w:r w:rsidRPr="00847DBA">
        <w:rPr>
          <w:rFonts w:ascii="Times New Roman" w:hAnsi="Times New Roman"/>
        </w:rPr>
        <w:t xml:space="preserve"> McAllister and Nelson (1979) argued that proscription had little practical effect and that Republican clubs never ceased to operate openly.</w:t>
      </w:r>
    </w:p>
  </w:footnote>
  <w:footnote w:id="9">
    <w:p w:rsidR="00443EDA" w:rsidRDefault="00443EDA" w:rsidP="003A0DD2">
      <w:pPr>
        <w:pStyle w:val="FootnoteText"/>
        <w:spacing w:after="0" w:line="240" w:lineRule="auto"/>
      </w:pPr>
      <w:r w:rsidRPr="00847DBA">
        <w:rPr>
          <w:rStyle w:val="FootnoteReference"/>
        </w:rPr>
        <w:footnoteRef/>
      </w:r>
      <w:r w:rsidRPr="00847DBA">
        <w:rPr>
          <w:rFonts w:ascii="Times New Roman" w:hAnsi="Times New Roman"/>
        </w:rPr>
        <w:t xml:space="preserve"> </w:t>
      </w:r>
      <w:proofErr w:type="gramStart"/>
      <w:r w:rsidRPr="00256436">
        <w:rPr>
          <w:rFonts w:ascii="Times New Roman" w:hAnsi="Times New Roman"/>
          <w:i/>
        </w:rPr>
        <w:t>Official Report</w:t>
      </w:r>
      <w:r w:rsidRPr="00847DBA">
        <w:rPr>
          <w:rFonts w:ascii="Times New Roman" w:hAnsi="Times New Roman"/>
        </w:rPr>
        <w:t xml:space="preserve">, </w:t>
      </w:r>
      <w:proofErr w:type="spellStart"/>
      <w:r w:rsidRPr="00847DBA">
        <w:rPr>
          <w:rFonts w:ascii="Times New Roman" w:hAnsi="Times New Roman"/>
        </w:rPr>
        <w:t>vol</w:t>
      </w:r>
      <w:proofErr w:type="spellEnd"/>
      <w:r w:rsidRPr="00847DBA">
        <w:rPr>
          <w:rFonts w:ascii="Times New Roman" w:hAnsi="Times New Roman"/>
        </w:rPr>
        <w:t xml:space="preserve"> 65, c. 1825, 7 March 1967.</w:t>
      </w:r>
      <w:proofErr w:type="gramEnd"/>
    </w:p>
  </w:footnote>
  <w:footnote w:id="10">
    <w:p w:rsidR="00443EDA" w:rsidRDefault="00443EDA" w:rsidP="003A0DD2">
      <w:pPr>
        <w:pStyle w:val="FootnoteText"/>
        <w:spacing w:after="0" w:line="240" w:lineRule="auto"/>
      </w:pPr>
      <w:r w:rsidRPr="00847DBA">
        <w:rPr>
          <w:rStyle w:val="FootnoteReference"/>
        </w:rPr>
        <w:footnoteRef/>
      </w:r>
      <w:r w:rsidRPr="00847DBA">
        <w:rPr>
          <w:rFonts w:ascii="Times New Roman" w:hAnsi="Times New Roman"/>
        </w:rPr>
        <w:t xml:space="preserve"> </w:t>
      </w:r>
      <w:proofErr w:type="gramStart"/>
      <w:r w:rsidRPr="00256436">
        <w:rPr>
          <w:rFonts w:ascii="Times New Roman" w:hAnsi="Times New Roman"/>
          <w:i/>
        </w:rPr>
        <w:t>Official Report</w:t>
      </w:r>
      <w:r w:rsidRPr="00847DBA">
        <w:rPr>
          <w:rFonts w:ascii="Times New Roman" w:hAnsi="Times New Roman"/>
        </w:rPr>
        <w:t xml:space="preserve">, </w:t>
      </w:r>
      <w:proofErr w:type="spellStart"/>
      <w:r w:rsidRPr="00847DBA">
        <w:rPr>
          <w:rFonts w:ascii="Times New Roman" w:hAnsi="Times New Roman"/>
        </w:rPr>
        <w:t>vol</w:t>
      </w:r>
      <w:proofErr w:type="spellEnd"/>
      <w:r w:rsidRPr="00847DBA">
        <w:rPr>
          <w:rFonts w:ascii="Times New Roman" w:hAnsi="Times New Roman"/>
        </w:rPr>
        <w:t xml:space="preserve"> 65, c. 1825, 7 March 1967.</w:t>
      </w:r>
      <w:proofErr w:type="gramEnd"/>
    </w:p>
  </w:footnote>
  <w:footnote w:id="11">
    <w:p w:rsidR="00443EDA" w:rsidRDefault="00443EDA" w:rsidP="003A0DD2">
      <w:pPr>
        <w:pStyle w:val="FootnoteText"/>
        <w:spacing w:after="0" w:line="240" w:lineRule="auto"/>
      </w:pPr>
      <w:r w:rsidRPr="00847DBA">
        <w:rPr>
          <w:rStyle w:val="FootnoteReference"/>
        </w:rPr>
        <w:footnoteRef/>
      </w:r>
      <w:r w:rsidRPr="00847DBA">
        <w:rPr>
          <w:rFonts w:ascii="Times New Roman" w:hAnsi="Times New Roman"/>
        </w:rPr>
        <w:t xml:space="preserve"> </w:t>
      </w:r>
      <w:r w:rsidRPr="00847DBA">
        <w:rPr>
          <w:rFonts w:ascii="Times New Roman" w:hAnsi="Times New Roman"/>
          <w:i/>
        </w:rPr>
        <w:t>Belfast Gazette</w:t>
      </w:r>
      <w:r w:rsidRPr="00847DBA">
        <w:rPr>
          <w:rFonts w:ascii="Times New Roman" w:hAnsi="Times New Roman"/>
        </w:rPr>
        <w:t xml:space="preserve">, 30 October 1931, p. 1092, no. 540 and </w:t>
      </w:r>
      <w:r w:rsidRPr="00847DBA">
        <w:rPr>
          <w:rFonts w:ascii="Times New Roman" w:hAnsi="Times New Roman"/>
          <w:i/>
        </w:rPr>
        <w:t>Belfast Gazette</w:t>
      </w:r>
      <w:r w:rsidRPr="00847DBA">
        <w:rPr>
          <w:rFonts w:ascii="Times New Roman" w:hAnsi="Times New Roman"/>
        </w:rPr>
        <w:t>, 2 December 1955, p. 352, no. 1797</w:t>
      </w:r>
    </w:p>
  </w:footnote>
  <w:footnote w:id="12">
    <w:p w:rsidR="00443EDA" w:rsidRDefault="00443EDA" w:rsidP="003A0DD2">
      <w:pPr>
        <w:pStyle w:val="FootnoteText"/>
        <w:spacing w:after="0" w:line="240" w:lineRule="auto"/>
      </w:pPr>
      <w:r w:rsidRPr="00847DBA">
        <w:rPr>
          <w:rStyle w:val="FootnoteReference"/>
        </w:rPr>
        <w:footnoteRef/>
      </w:r>
      <w:r w:rsidRPr="00847DBA">
        <w:rPr>
          <w:rFonts w:ascii="Times New Roman" w:hAnsi="Times New Roman"/>
        </w:rPr>
        <w:t xml:space="preserve"> </w:t>
      </w:r>
      <w:r w:rsidRPr="00847DBA">
        <w:rPr>
          <w:rFonts w:ascii="Times New Roman" w:hAnsi="Times New Roman"/>
          <w:i/>
        </w:rPr>
        <w:t>Belfast Gazette</w:t>
      </w:r>
      <w:r w:rsidRPr="00847DBA">
        <w:rPr>
          <w:rFonts w:ascii="Times New Roman" w:hAnsi="Times New Roman"/>
        </w:rPr>
        <w:t xml:space="preserve">, 28 July 1933, p. 905, no. 631 and </w:t>
      </w:r>
      <w:r w:rsidRPr="00847DBA">
        <w:rPr>
          <w:rFonts w:ascii="Times New Roman" w:hAnsi="Times New Roman"/>
          <w:i/>
        </w:rPr>
        <w:t>Belfast Gazette</w:t>
      </w:r>
      <w:r w:rsidRPr="00847DBA">
        <w:rPr>
          <w:rFonts w:ascii="Times New Roman" w:hAnsi="Times New Roman"/>
        </w:rPr>
        <w:t>, 1 July 1966, p. 243-4, no. 2370.</w:t>
      </w:r>
    </w:p>
  </w:footnote>
  <w:footnote w:id="13">
    <w:p w:rsidR="00443EDA" w:rsidRPr="00622E12" w:rsidRDefault="00443EDA" w:rsidP="003A0DD2">
      <w:pPr>
        <w:pStyle w:val="FootnoteText"/>
        <w:spacing w:after="0" w:line="240" w:lineRule="auto"/>
        <w:rPr>
          <w:lang w:val="da-DK"/>
        </w:rPr>
      </w:pPr>
      <w:r w:rsidRPr="00847DBA">
        <w:rPr>
          <w:rStyle w:val="FootnoteReference"/>
        </w:rPr>
        <w:footnoteRef/>
      </w:r>
      <w:r w:rsidRPr="00847DBA">
        <w:rPr>
          <w:rFonts w:ascii="Times New Roman" w:hAnsi="Times New Roman"/>
          <w:lang w:val="da-DK"/>
        </w:rPr>
        <w:t xml:space="preserve"> HL </w:t>
      </w:r>
      <w:proofErr w:type="spellStart"/>
      <w:r w:rsidRPr="00847DBA">
        <w:rPr>
          <w:rFonts w:ascii="Times New Roman" w:hAnsi="Times New Roman"/>
          <w:lang w:val="da-DK"/>
        </w:rPr>
        <w:t>Deb</w:t>
      </w:r>
      <w:proofErr w:type="spellEnd"/>
      <w:r w:rsidRPr="00847DBA">
        <w:rPr>
          <w:rFonts w:ascii="Times New Roman" w:hAnsi="Times New Roman"/>
          <w:lang w:val="da-DK"/>
        </w:rPr>
        <w:t xml:space="preserve"> 17 </w:t>
      </w:r>
      <w:proofErr w:type="gramStart"/>
      <w:r w:rsidRPr="00847DBA">
        <w:rPr>
          <w:rFonts w:ascii="Times New Roman" w:hAnsi="Times New Roman"/>
          <w:lang w:val="da-DK"/>
        </w:rPr>
        <w:t>April</w:t>
      </w:r>
      <w:proofErr w:type="gramEnd"/>
      <w:r w:rsidRPr="00847DBA">
        <w:rPr>
          <w:rFonts w:ascii="Times New Roman" w:hAnsi="Times New Roman"/>
          <w:lang w:val="da-DK"/>
        </w:rPr>
        <w:t xml:space="preserve"> 1973, </w:t>
      </w:r>
      <w:r w:rsidRPr="00847DBA">
        <w:rPr>
          <w:rFonts w:ascii="Times New Roman" w:hAnsi="Times New Roman"/>
          <w:i/>
          <w:lang w:val="da-DK"/>
        </w:rPr>
        <w:t>Hansard</w:t>
      </w:r>
      <w:r w:rsidRPr="00847DBA">
        <w:rPr>
          <w:rFonts w:ascii="Times New Roman" w:hAnsi="Times New Roman"/>
          <w:lang w:val="da-DK"/>
        </w:rPr>
        <w:t xml:space="preserve">, </w:t>
      </w:r>
      <w:proofErr w:type="spellStart"/>
      <w:r w:rsidRPr="00847DBA">
        <w:rPr>
          <w:rFonts w:ascii="Times New Roman" w:hAnsi="Times New Roman"/>
          <w:lang w:val="da-DK"/>
        </w:rPr>
        <w:t>vol</w:t>
      </w:r>
      <w:proofErr w:type="spellEnd"/>
      <w:r w:rsidRPr="00847DBA">
        <w:rPr>
          <w:rFonts w:ascii="Times New Roman" w:hAnsi="Times New Roman"/>
          <w:lang w:val="da-DK"/>
        </w:rPr>
        <w:t xml:space="preserve"> 855 cc275-392</w:t>
      </w:r>
    </w:p>
  </w:footnote>
  <w:footnote w:id="14">
    <w:p w:rsidR="00443EDA" w:rsidRDefault="00443EDA" w:rsidP="003A0DD2">
      <w:pPr>
        <w:pStyle w:val="FootnoteText"/>
        <w:spacing w:after="0" w:line="240" w:lineRule="auto"/>
      </w:pPr>
      <w:r w:rsidRPr="00847DBA">
        <w:rPr>
          <w:rStyle w:val="FootnoteReference"/>
        </w:rPr>
        <w:footnoteRef/>
      </w:r>
      <w:r w:rsidRPr="00847DBA">
        <w:rPr>
          <w:rFonts w:ascii="Times New Roman" w:hAnsi="Times New Roman"/>
        </w:rPr>
        <w:t xml:space="preserve"> Northern Ireland (Emergency Powers) Act 1973 Amendment Order 1974, </w:t>
      </w:r>
      <w:r w:rsidRPr="00847DBA">
        <w:rPr>
          <w:rStyle w:val="HTMLCite"/>
          <w:rFonts w:ascii="Times New Roman" w:hAnsi="Times New Roman"/>
        </w:rPr>
        <w:t xml:space="preserve">HL Deb </w:t>
      </w:r>
      <w:r w:rsidRPr="00847DBA">
        <w:rPr>
          <w:rStyle w:val="HTMLCite"/>
          <w:rFonts w:ascii="Times New Roman" w:hAnsi="Times New Roman"/>
          <w:i w:val="0"/>
        </w:rPr>
        <w:t xml:space="preserve">15 May 1974 </w:t>
      </w:r>
      <w:proofErr w:type="spellStart"/>
      <w:r w:rsidRPr="00847DBA">
        <w:rPr>
          <w:rStyle w:val="HTMLCite"/>
          <w:rFonts w:ascii="Times New Roman" w:hAnsi="Times New Roman"/>
          <w:i w:val="0"/>
        </w:rPr>
        <w:t>vol</w:t>
      </w:r>
      <w:proofErr w:type="spellEnd"/>
      <w:r w:rsidRPr="00847DBA">
        <w:rPr>
          <w:rStyle w:val="HTMLCite"/>
          <w:rFonts w:ascii="Times New Roman" w:hAnsi="Times New Roman"/>
          <w:i w:val="0"/>
        </w:rPr>
        <w:t xml:space="preserve"> 351 c1092-5</w:t>
      </w:r>
      <w:r w:rsidRPr="00847DBA">
        <w:rPr>
          <w:rFonts w:ascii="Times New Roman" w:hAnsi="Times New Roman"/>
        </w:rPr>
        <w:t xml:space="preserve"> </w:t>
      </w:r>
    </w:p>
  </w:footnote>
  <w:footnote w:id="15">
    <w:p w:rsidR="00443EDA" w:rsidRDefault="00443EDA" w:rsidP="003A0DD2">
      <w:pPr>
        <w:pStyle w:val="FootnoteText"/>
        <w:spacing w:after="0" w:line="240" w:lineRule="auto"/>
      </w:pPr>
      <w:r w:rsidRPr="00847DBA">
        <w:rPr>
          <w:rStyle w:val="FootnoteReference"/>
        </w:rPr>
        <w:footnoteRef/>
      </w:r>
      <w:r w:rsidRPr="00847DBA">
        <w:rPr>
          <w:rFonts w:ascii="Times New Roman" w:hAnsi="Times New Roman"/>
        </w:rPr>
        <w:t xml:space="preserve"> HC Deb 17 April 1973, </w:t>
      </w:r>
      <w:proofErr w:type="spellStart"/>
      <w:r w:rsidRPr="00847DBA">
        <w:rPr>
          <w:rFonts w:ascii="Times New Roman" w:hAnsi="Times New Roman"/>
        </w:rPr>
        <w:t>vol</w:t>
      </w:r>
      <w:proofErr w:type="spellEnd"/>
      <w:r w:rsidRPr="00847DBA">
        <w:rPr>
          <w:rFonts w:ascii="Times New Roman" w:hAnsi="Times New Roman"/>
        </w:rPr>
        <w:t xml:space="preserve"> 855 cc 275-392, second reading of Northern Ireland (Emergency Provisions) Bill </w:t>
      </w:r>
    </w:p>
  </w:footnote>
  <w:footnote w:id="16">
    <w:p w:rsidR="00443EDA" w:rsidRPr="00622E12" w:rsidRDefault="00443EDA">
      <w:pPr>
        <w:pStyle w:val="FootnoteText"/>
        <w:rPr>
          <w:lang w:val="es-ES"/>
        </w:rPr>
      </w:pPr>
      <w:r>
        <w:rPr>
          <w:rStyle w:val="FootnoteReference"/>
        </w:rPr>
        <w:footnoteRef/>
      </w:r>
      <w:r w:rsidRPr="00013600">
        <w:rPr>
          <w:lang w:val="es-ES"/>
        </w:rPr>
        <w:t xml:space="preserve"> Ley 5471978 de 4 de diciembre, de Partidos Políticos, Boletín Oficial del Estado, </w:t>
      </w:r>
      <w:proofErr w:type="spellStart"/>
      <w:r w:rsidRPr="00013600">
        <w:rPr>
          <w:lang w:val="es-ES"/>
        </w:rPr>
        <w:t>núm</w:t>
      </w:r>
      <w:proofErr w:type="spellEnd"/>
      <w:r w:rsidRPr="00013600">
        <w:rPr>
          <w:lang w:val="es-ES"/>
        </w:rPr>
        <w:t xml:space="preserve"> 293 de 8 de diciembre de 1978, p 27781 a 27782.</w:t>
      </w:r>
    </w:p>
  </w:footnote>
  <w:footnote w:id="17">
    <w:p w:rsidR="00443EDA" w:rsidRPr="00622E12" w:rsidRDefault="00443EDA">
      <w:pPr>
        <w:pStyle w:val="FootnoteText"/>
        <w:rPr>
          <w:lang w:val="es-ES"/>
        </w:rPr>
      </w:pPr>
      <w:r>
        <w:rPr>
          <w:rStyle w:val="FootnoteReference"/>
        </w:rPr>
        <w:footnoteRef/>
      </w:r>
      <w:r w:rsidRPr="003D63CA">
        <w:rPr>
          <w:lang w:val="es-ES"/>
        </w:rPr>
        <w:t xml:space="preserve"> </w:t>
      </w:r>
      <w:r>
        <w:rPr>
          <w:lang w:val="es-ES"/>
        </w:rPr>
        <w:t xml:space="preserve">Ley Orgánica 672002, de 27 junio, de Partidos Políticos, </w:t>
      </w:r>
      <w:r w:rsidRPr="003D63CA">
        <w:rPr>
          <w:rFonts w:ascii="Times New Roman" w:hAnsi="Times New Roman"/>
          <w:i/>
          <w:color w:val="333333"/>
          <w:lang w:val="es-ES"/>
        </w:rPr>
        <w:t>Boletín Oficial del Estado</w:t>
      </w:r>
      <w:r w:rsidRPr="003D63CA">
        <w:rPr>
          <w:rFonts w:ascii="Times New Roman" w:hAnsi="Times New Roman"/>
          <w:color w:val="333333"/>
          <w:lang w:val="es-ES"/>
        </w:rPr>
        <w:t>, núm. 154 de 28 de junio de 2002, páginas 23600 a 23607</w:t>
      </w:r>
      <w:r>
        <w:rPr>
          <w:rFonts w:ascii="Verdana" w:hAnsi="Verdana"/>
          <w:color w:val="333333"/>
          <w:sz w:val="19"/>
          <w:szCs w:val="19"/>
          <w:lang w:val="es-ES"/>
        </w:rPr>
        <w:t xml:space="preserve"> </w:t>
      </w:r>
    </w:p>
  </w:footnote>
  <w:footnote w:id="18">
    <w:p w:rsidR="00443EDA" w:rsidRDefault="00443EDA" w:rsidP="00FA65BA">
      <w:pPr>
        <w:pStyle w:val="BodyTextIndent2"/>
        <w:ind w:firstLine="0"/>
        <w:jc w:val="left"/>
      </w:pPr>
      <w:r w:rsidRPr="00637849">
        <w:rPr>
          <w:rStyle w:val="FootnoteReference"/>
          <w:b w:val="0"/>
          <w:sz w:val="20"/>
          <w:szCs w:val="20"/>
        </w:rPr>
        <w:footnoteRef/>
      </w:r>
      <w:r w:rsidRPr="00637849">
        <w:rPr>
          <w:rFonts w:ascii="Times New Roman" w:hAnsi="Times New Roman" w:cs="Times New Roman"/>
          <w:b w:val="0"/>
          <w:sz w:val="20"/>
          <w:szCs w:val="20"/>
        </w:rPr>
        <w:t xml:space="preserve"> </w:t>
      </w:r>
      <w:r w:rsidRPr="00824F19">
        <w:rPr>
          <w:rFonts w:ascii="Times New Roman" w:hAnsi="Times New Roman" w:cs="Times New Roman"/>
          <w:b w:val="0"/>
          <w:sz w:val="20"/>
          <w:szCs w:val="20"/>
        </w:rPr>
        <w:t xml:space="preserve">Sentencia Tribunal Supremo  (Sala de lo Sala especial del art. 61 de la LOPJ), de 27 marzo 2003. </w:t>
      </w:r>
    </w:p>
  </w:footnote>
  <w:footnote w:id="19">
    <w:p w:rsidR="00443EDA" w:rsidRDefault="00443EDA" w:rsidP="00382014">
      <w:pPr>
        <w:pStyle w:val="FootnoteText"/>
      </w:pPr>
      <w:r w:rsidRPr="00824F19">
        <w:rPr>
          <w:rStyle w:val="FootnoteReference"/>
        </w:rPr>
        <w:footnoteRef/>
      </w:r>
      <w:r w:rsidRPr="00824F19">
        <w:rPr>
          <w:rFonts w:ascii="Times New Roman" w:hAnsi="Times New Roman"/>
        </w:rPr>
        <w:t xml:space="preserve"> </w:t>
      </w:r>
      <w:r w:rsidRPr="00824F19">
        <w:rPr>
          <w:rFonts w:ascii="Times New Roman" w:hAnsi="Times New Roman"/>
          <w:lang w:val="en-US"/>
        </w:rPr>
        <w:t xml:space="preserve">In 1997, the entire leadership of HB was sentenced </w:t>
      </w:r>
      <w:r w:rsidRPr="00090991">
        <w:rPr>
          <w:rFonts w:ascii="Times New Roman" w:hAnsi="Times New Roman"/>
          <w:lang w:val="en-US"/>
        </w:rPr>
        <w:t>to seven years prison for collaborating with an armed group, although the sentence was later annulled. HB had tried to broadcast a video elaborated by ETA during the 1996 election campaign (Esparza 2004: 146).</w:t>
      </w:r>
    </w:p>
  </w:footnote>
  <w:footnote w:id="20">
    <w:p w:rsidR="00443EDA" w:rsidRDefault="00443EDA" w:rsidP="00575B73">
      <w:pPr>
        <w:pStyle w:val="FootnoteText"/>
        <w:spacing w:after="0"/>
      </w:pPr>
      <w:r>
        <w:rPr>
          <w:rStyle w:val="FootnoteReference"/>
        </w:rPr>
        <w:footnoteRef/>
      </w:r>
      <w:r>
        <w:t xml:space="preserve"> </w:t>
      </w:r>
      <w:proofErr w:type="gramStart"/>
      <w:r w:rsidRPr="003E0325">
        <w:t xml:space="preserve">Article 3 in </w:t>
      </w:r>
      <w:r>
        <w:t xml:space="preserve">Ley </w:t>
      </w:r>
      <w:r w:rsidRPr="003E0325">
        <w:t xml:space="preserve">54/1978 </w:t>
      </w:r>
      <w:r>
        <w:t xml:space="preserve">on Political Parties </w:t>
      </w:r>
      <w:r w:rsidRPr="003E0325">
        <w:t xml:space="preserve">and Article 5 in </w:t>
      </w:r>
      <w:r>
        <w:t xml:space="preserve">Ley </w:t>
      </w:r>
      <w:r w:rsidRPr="003E0325">
        <w:t>6/2002</w:t>
      </w:r>
      <w:r>
        <w:t xml:space="preserve"> on Political Parties</w:t>
      </w:r>
      <w:r w:rsidRPr="003E0325">
        <w:t>.</w:t>
      </w:r>
      <w:proofErr w:type="gramEnd"/>
    </w:p>
  </w:footnote>
  <w:footnote w:id="21">
    <w:p w:rsidR="00443EDA" w:rsidRDefault="00443EDA" w:rsidP="00575B73">
      <w:pPr>
        <w:pStyle w:val="FootnoteText"/>
        <w:spacing w:after="0"/>
      </w:pPr>
      <w:r>
        <w:rPr>
          <w:rStyle w:val="FootnoteReference"/>
        </w:rPr>
        <w:footnoteRef/>
      </w:r>
      <w:r>
        <w:t xml:space="preserve"> </w:t>
      </w:r>
      <w:r w:rsidRPr="003E0325">
        <w:t xml:space="preserve">Article 5 and 12, in </w:t>
      </w:r>
      <w:r>
        <w:t xml:space="preserve">Ley </w:t>
      </w:r>
      <w:r w:rsidRPr="003E0325">
        <w:t>6/2002</w:t>
      </w:r>
      <w:r w:rsidRPr="005D6512">
        <w:t xml:space="preserve"> </w:t>
      </w:r>
      <w:r>
        <w:t>on Political Parties</w:t>
      </w:r>
    </w:p>
  </w:footnote>
  <w:footnote w:id="22">
    <w:p w:rsidR="00443EDA" w:rsidRDefault="00443EDA" w:rsidP="00575B73">
      <w:pPr>
        <w:pStyle w:val="FootnoteText"/>
        <w:spacing w:after="0"/>
      </w:pPr>
      <w:r>
        <w:rPr>
          <w:rStyle w:val="FootnoteReference"/>
        </w:rPr>
        <w:footnoteRef/>
      </w:r>
      <w:r>
        <w:t xml:space="preserve"> </w:t>
      </w:r>
      <w:proofErr w:type="gramStart"/>
      <w:r w:rsidRPr="003E0325">
        <w:t xml:space="preserve">Article 5 in </w:t>
      </w:r>
      <w:r>
        <w:t xml:space="preserve">Ley </w:t>
      </w:r>
      <w:r w:rsidRPr="003E0325">
        <w:t xml:space="preserve">54/1978 </w:t>
      </w:r>
      <w:r>
        <w:t xml:space="preserve">on Political Parties </w:t>
      </w:r>
      <w:r w:rsidRPr="003E0325">
        <w:t xml:space="preserve">and Article 10 in </w:t>
      </w:r>
      <w:r>
        <w:t xml:space="preserve">Ley </w:t>
      </w:r>
      <w:r w:rsidRPr="003E0325">
        <w:t>6/2002</w:t>
      </w:r>
      <w:r>
        <w:t xml:space="preserve"> on Political Parties</w:t>
      </w:r>
      <w:r w:rsidRPr="003E0325">
        <w:t>.</w:t>
      </w:r>
      <w:proofErr w:type="gramEnd"/>
    </w:p>
  </w:footnote>
  <w:footnote w:id="23">
    <w:p w:rsidR="00443EDA" w:rsidRDefault="00443EDA" w:rsidP="00575B73">
      <w:pPr>
        <w:pStyle w:val="FootnoteText"/>
        <w:spacing w:after="0"/>
      </w:pPr>
      <w:r>
        <w:rPr>
          <w:rStyle w:val="FootnoteReference"/>
        </w:rPr>
        <w:footnoteRef/>
      </w:r>
      <w:r>
        <w:t xml:space="preserve"> </w:t>
      </w:r>
      <w:proofErr w:type="gramStart"/>
      <w:r w:rsidRPr="00944D4B">
        <w:t>Article 10 in Law 6/2002</w:t>
      </w:r>
      <w:r>
        <w:t xml:space="preserve"> on Political Parties</w:t>
      </w:r>
      <w:r w:rsidRPr="00944D4B">
        <w:t>.</w:t>
      </w:r>
      <w:proofErr w:type="gramEnd"/>
    </w:p>
  </w:footnote>
  <w:footnote w:id="24">
    <w:p w:rsidR="00443EDA" w:rsidRDefault="00443EDA" w:rsidP="00575B73">
      <w:pPr>
        <w:pStyle w:val="FootnoteText"/>
        <w:spacing w:after="0"/>
      </w:pPr>
      <w:r>
        <w:rPr>
          <w:rStyle w:val="FootnoteReference"/>
        </w:rPr>
        <w:footnoteRef/>
      </w:r>
      <w:r>
        <w:t xml:space="preserve"> </w:t>
      </w:r>
      <w:proofErr w:type="gramStart"/>
      <w:r>
        <w:t>Article 11 in Law 6/2002 on Political Parties.</w:t>
      </w:r>
      <w:proofErr w:type="gramEnd"/>
    </w:p>
  </w:footnote>
  <w:footnote w:id="25">
    <w:p w:rsidR="00443EDA" w:rsidRDefault="00443EDA" w:rsidP="00575B73">
      <w:pPr>
        <w:pStyle w:val="FootnoteText"/>
        <w:spacing w:after="0"/>
      </w:pPr>
      <w:r>
        <w:rPr>
          <w:rStyle w:val="FootnoteReference"/>
        </w:rPr>
        <w:footnoteRef/>
      </w:r>
      <w:r>
        <w:t xml:space="preserve"> Section 1, Civil Authorities (Special Powers) Act (Northern Ireland) 1922.</w:t>
      </w:r>
    </w:p>
  </w:footnote>
  <w:footnote w:id="26">
    <w:p w:rsidR="00443EDA" w:rsidRDefault="00443EDA" w:rsidP="00575B73">
      <w:pPr>
        <w:pStyle w:val="FootnoteText"/>
        <w:spacing w:after="0"/>
      </w:pPr>
      <w:r>
        <w:rPr>
          <w:rStyle w:val="FootnoteReference"/>
        </w:rPr>
        <w:footnoteRef/>
      </w:r>
      <w:r>
        <w:t xml:space="preserve"> </w:t>
      </w:r>
      <w:r w:rsidRPr="009C5E76">
        <w:t xml:space="preserve">Section 3, </w:t>
      </w:r>
      <w:r>
        <w:t>Civil Authorities (Special Powers) Act (Northern Ireland) 1922.</w:t>
      </w:r>
    </w:p>
  </w:footnote>
  <w:footnote w:id="27">
    <w:p w:rsidR="00443EDA" w:rsidRDefault="00443EDA" w:rsidP="00575B73">
      <w:pPr>
        <w:pStyle w:val="FootnoteText"/>
        <w:spacing w:after="0"/>
      </w:pPr>
      <w:r w:rsidRPr="004E0206">
        <w:rPr>
          <w:rStyle w:val="FootnoteReference"/>
        </w:rPr>
        <w:footnoteRef/>
      </w:r>
      <w:r w:rsidRPr="004E0206">
        <w:rPr>
          <w:rFonts w:ascii="Times New Roman" w:hAnsi="Times New Roman"/>
        </w:rPr>
        <w:t xml:space="preserve"> See SRO 35/1922, SRO 46/1936, SRO 42/1955, SRO 199/1956, SRO 42/1967.</w:t>
      </w:r>
    </w:p>
  </w:footnote>
  <w:footnote w:id="28">
    <w:p w:rsidR="00443EDA" w:rsidRDefault="00443EDA" w:rsidP="00575B73">
      <w:pPr>
        <w:pStyle w:val="FootnoteText"/>
        <w:spacing w:after="0"/>
      </w:pPr>
      <w:r w:rsidRPr="004E0206">
        <w:rPr>
          <w:rStyle w:val="FootnoteReference"/>
        </w:rPr>
        <w:footnoteRef/>
      </w:r>
      <w:r w:rsidRPr="004E0206">
        <w:rPr>
          <w:rFonts w:ascii="Times New Roman" w:hAnsi="Times New Roman"/>
        </w:rPr>
        <w:t xml:space="preserve"> Section 1 in Northern Ireland (Temporary Provisions) Act 1972</w:t>
      </w:r>
    </w:p>
  </w:footnote>
  <w:footnote w:id="29">
    <w:p w:rsidR="00443EDA" w:rsidRDefault="00443EDA" w:rsidP="00575B73">
      <w:pPr>
        <w:pStyle w:val="FootnoteText"/>
        <w:spacing w:after="0"/>
      </w:pPr>
      <w:r w:rsidRPr="004E0206">
        <w:rPr>
          <w:rStyle w:val="FootnoteReference"/>
        </w:rPr>
        <w:footnoteRef/>
      </w:r>
      <w:r w:rsidRPr="004E0206">
        <w:rPr>
          <w:rFonts w:ascii="Times New Roman" w:hAnsi="Times New Roman"/>
        </w:rPr>
        <w:t xml:space="preserve"> Section 1 (3) in Schedule of Northern Ireland (Temporary Provisions) Act 1972</w:t>
      </w:r>
    </w:p>
  </w:footnote>
  <w:footnote w:id="30">
    <w:p w:rsidR="00443EDA" w:rsidRDefault="00443EDA" w:rsidP="00575B73">
      <w:pPr>
        <w:pStyle w:val="FootnoteText"/>
        <w:spacing w:after="0"/>
      </w:pPr>
      <w:r w:rsidRPr="004E0206">
        <w:rPr>
          <w:rStyle w:val="FootnoteReference"/>
        </w:rPr>
        <w:footnoteRef/>
      </w:r>
      <w:r w:rsidRPr="004E0206">
        <w:rPr>
          <w:rFonts w:ascii="Times New Roman" w:hAnsi="Times New Roman"/>
        </w:rPr>
        <w:t xml:space="preserve"> Section 1(2) in Schedule of Northern Ireland (Temporary Provisions) Act 1972</w:t>
      </w:r>
    </w:p>
  </w:footnote>
  <w:footnote w:id="31">
    <w:p w:rsidR="00443EDA" w:rsidRDefault="00443EDA" w:rsidP="00575B73">
      <w:pPr>
        <w:pStyle w:val="FootnoteText"/>
        <w:spacing w:after="0"/>
      </w:pPr>
      <w:r w:rsidRPr="004E0206">
        <w:rPr>
          <w:rStyle w:val="FootnoteReference"/>
        </w:rPr>
        <w:footnoteRef/>
      </w:r>
      <w:r w:rsidRPr="004E0206">
        <w:rPr>
          <w:rFonts w:ascii="Times New Roman" w:hAnsi="Times New Roman"/>
        </w:rPr>
        <w:t xml:space="preserve"> Section 19 of Northern Ireland (Emergency Provisions) Act 1973, </w:t>
      </w:r>
    </w:p>
  </w:footnote>
  <w:footnote w:id="32">
    <w:p w:rsidR="00443EDA" w:rsidRDefault="00443EDA" w:rsidP="00575B73">
      <w:pPr>
        <w:pStyle w:val="FootnoteText"/>
        <w:spacing w:after="0"/>
      </w:pPr>
      <w:r w:rsidRPr="004E0206">
        <w:rPr>
          <w:rStyle w:val="FootnoteReference"/>
        </w:rPr>
        <w:footnoteRef/>
      </w:r>
      <w:r w:rsidRPr="004E0206">
        <w:rPr>
          <w:rFonts w:ascii="Times New Roman" w:hAnsi="Times New Roman"/>
        </w:rPr>
        <w:t xml:space="preserve"> According to Finer, </w:t>
      </w:r>
      <w:proofErr w:type="spellStart"/>
      <w:r w:rsidRPr="004E0206">
        <w:rPr>
          <w:rFonts w:ascii="Times New Roman" w:hAnsi="Times New Roman"/>
        </w:rPr>
        <w:t>Bogdanor</w:t>
      </w:r>
      <w:proofErr w:type="spellEnd"/>
      <w:r w:rsidRPr="004E0206">
        <w:rPr>
          <w:rFonts w:ascii="Times New Roman" w:hAnsi="Times New Roman"/>
        </w:rPr>
        <w:t xml:space="preserve"> and </w:t>
      </w:r>
      <w:proofErr w:type="spellStart"/>
      <w:r w:rsidRPr="004E0206">
        <w:rPr>
          <w:rFonts w:ascii="Times New Roman" w:hAnsi="Times New Roman"/>
        </w:rPr>
        <w:t>Rudden</w:t>
      </w:r>
      <w:proofErr w:type="spellEnd"/>
      <w:r w:rsidRPr="004E0206">
        <w:rPr>
          <w:rFonts w:ascii="Times New Roman" w:hAnsi="Times New Roman"/>
        </w:rPr>
        <w:t xml:space="preserve"> (1995, 66), the Statutory Instruments Act 1946, which deals with subordinate legislation made by ministers, does not require that all Statutory instruments shall be laid before Parliament and whether this is required or not is decided by the parent Act in question.</w:t>
      </w:r>
    </w:p>
  </w:footnote>
  <w:footnote w:id="33">
    <w:p w:rsidR="00443EDA" w:rsidRDefault="00443EDA" w:rsidP="00B8506C">
      <w:pPr>
        <w:pStyle w:val="FootnoteText"/>
      </w:pPr>
      <w:r>
        <w:rPr>
          <w:rStyle w:val="FootnoteReference"/>
        </w:rPr>
        <w:footnoteRef/>
      </w:r>
      <w:r>
        <w:t xml:space="preserve"> While </w:t>
      </w:r>
      <w:proofErr w:type="spellStart"/>
      <w:r>
        <w:t>Pedahzur</w:t>
      </w:r>
      <w:proofErr w:type="spellEnd"/>
      <w:r>
        <w:t xml:space="preserve"> develops this framework primarily with reference to right wing extremists, it can easily be applied to other types of political extremism.</w:t>
      </w:r>
    </w:p>
  </w:footnote>
  <w:footnote w:id="34">
    <w:p w:rsidR="00443EDA" w:rsidRDefault="00443EDA" w:rsidP="00081E2D"/>
  </w:footnote>
  <w:footnote w:id="35">
    <w:p w:rsidR="00443EDA" w:rsidRPr="00622E12" w:rsidRDefault="00443EDA" w:rsidP="00606079">
      <w:pPr>
        <w:pStyle w:val="FootnoteText"/>
        <w:spacing w:after="0"/>
        <w:rPr>
          <w:lang w:val="es-ES"/>
        </w:rPr>
      </w:pPr>
      <w:r>
        <w:rPr>
          <w:rStyle w:val="FootnoteReference"/>
        </w:rPr>
        <w:footnoteRef/>
      </w:r>
      <w:r w:rsidRPr="00622E12">
        <w:rPr>
          <w:lang w:val="es-ES"/>
        </w:rPr>
        <w:t xml:space="preserve"> </w:t>
      </w:r>
      <w:r w:rsidRPr="00622E12">
        <w:rPr>
          <w:rFonts w:ascii="Times New Roman" w:hAnsi="Times New Roman"/>
          <w:i/>
          <w:lang w:val="es-ES"/>
        </w:rPr>
        <w:t>Diario de Sesiones de Congreso de los Diputados</w:t>
      </w:r>
      <w:r w:rsidRPr="00622E12">
        <w:rPr>
          <w:rFonts w:ascii="Times New Roman" w:hAnsi="Times New Roman"/>
          <w:lang w:val="es-ES"/>
        </w:rPr>
        <w:t xml:space="preserve">, </w:t>
      </w:r>
      <w:proofErr w:type="spellStart"/>
      <w:r w:rsidRPr="00622E12">
        <w:rPr>
          <w:rFonts w:ascii="Times New Roman" w:hAnsi="Times New Roman"/>
          <w:lang w:val="es-ES"/>
        </w:rPr>
        <w:t>núm</w:t>
      </w:r>
      <w:proofErr w:type="spellEnd"/>
      <w:r w:rsidRPr="00622E12">
        <w:rPr>
          <w:rFonts w:ascii="Times New Roman" w:hAnsi="Times New Roman"/>
          <w:lang w:val="es-ES"/>
        </w:rPr>
        <w:t xml:space="preserve"> 67, 16 </w:t>
      </w:r>
      <w:proofErr w:type="spellStart"/>
      <w:r w:rsidRPr="00622E12">
        <w:rPr>
          <w:rFonts w:ascii="Times New Roman" w:hAnsi="Times New Roman"/>
          <w:lang w:val="es-ES"/>
        </w:rPr>
        <w:t>May</w:t>
      </w:r>
      <w:proofErr w:type="spellEnd"/>
      <w:r w:rsidRPr="00622E12">
        <w:rPr>
          <w:rFonts w:ascii="Times New Roman" w:hAnsi="Times New Roman"/>
          <w:lang w:val="es-ES"/>
        </w:rPr>
        <w:t xml:space="preserve"> 1978, p. 2368-2370; </w:t>
      </w:r>
      <w:r w:rsidRPr="00622E12">
        <w:rPr>
          <w:rFonts w:ascii="Times New Roman" w:hAnsi="Times New Roman"/>
          <w:i/>
          <w:lang w:val="es-ES"/>
        </w:rPr>
        <w:t>Diario de Sesiones del Senado</w:t>
      </w:r>
      <w:r w:rsidRPr="00622E12">
        <w:rPr>
          <w:rFonts w:ascii="Times New Roman" w:hAnsi="Times New Roman"/>
          <w:lang w:val="es-ES"/>
        </w:rPr>
        <w:t xml:space="preserve">, </w:t>
      </w:r>
      <w:proofErr w:type="spellStart"/>
      <w:r w:rsidRPr="00622E12">
        <w:rPr>
          <w:rFonts w:ascii="Times New Roman" w:hAnsi="Times New Roman"/>
          <w:lang w:val="es-ES"/>
        </w:rPr>
        <w:t>Comision</w:t>
      </w:r>
      <w:proofErr w:type="spellEnd"/>
      <w:r w:rsidRPr="00622E12">
        <w:rPr>
          <w:rFonts w:ascii="Times New Roman" w:hAnsi="Times New Roman"/>
          <w:lang w:val="es-ES"/>
        </w:rPr>
        <w:t xml:space="preserve"> de </w:t>
      </w:r>
      <w:proofErr w:type="spellStart"/>
      <w:r w:rsidRPr="00622E12">
        <w:rPr>
          <w:rFonts w:ascii="Times New Roman" w:hAnsi="Times New Roman"/>
          <w:lang w:val="es-ES"/>
        </w:rPr>
        <w:t>Constitucion</w:t>
      </w:r>
      <w:proofErr w:type="spellEnd"/>
      <w:r w:rsidRPr="00622E12">
        <w:rPr>
          <w:rFonts w:ascii="Times New Roman" w:hAnsi="Times New Roman"/>
          <w:lang w:val="es-ES"/>
        </w:rPr>
        <w:t xml:space="preserve">, </w:t>
      </w:r>
      <w:proofErr w:type="spellStart"/>
      <w:r w:rsidRPr="00622E12">
        <w:rPr>
          <w:rFonts w:ascii="Times New Roman" w:hAnsi="Times New Roman"/>
          <w:lang w:val="es-ES"/>
        </w:rPr>
        <w:t>núm</w:t>
      </w:r>
      <w:proofErr w:type="spellEnd"/>
      <w:r w:rsidRPr="00622E12">
        <w:rPr>
          <w:rFonts w:ascii="Times New Roman" w:hAnsi="Times New Roman"/>
          <w:lang w:val="es-ES"/>
        </w:rPr>
        <w:t xml:space="preserve"> 41, 22 </w:t>
      </w:r>
      <w:proofErr w:type="spellStart"/>
      <w:r w:rsidRPr="00622E12">
        <w:rPr>
          <w:rFonts w:ascii="Times New Roman" w:hAnsi="Times New Roman"/>
          <w:lang w:val="es-ES"/>
        </w:rPr>
        <w:t>August</w:t>
      </w:r>
      <w:proofErr w:type="spellEnd"/>
      <w:r w:rsidRPr="00622E12">
        <w:rPr>
          <w:rFonts w:ascii="Times New Roman" w:hAnsi="Times New Roman"/>
          <w:lang w:val="es-ES"/>
        </w:rPr>
        <w:t xml:space="preserve"> 1978, p. 1690-1693.</w:t>
      </w:r>
    </w:p>
  </w:footnote>
  <w:footnote w:id="36">
    <w:p w:rsidR="00443EDA" w:rsidRPr="00622E12" w:rsidRDefault="00443EDA" w:rsidP="00606079">
      <w:pPr>
        <w:pStyle w:val="FootnoteText"/>
        <w:spacing w:after="0"/>
        <w:rPr>
          <w:lang w:val="es-ES"/>
        </w:rPr>
      </w:pPr>
      <w:r w:rsidRPr="009009B1">
        <w:rPr>
          <w:rStyle w:val="FootnoteReference"/>
        </w:rPr>
        <w:footnoteRef/>
      </w:r>
      <w:r w:rsidRPr="00622E12">
        <w:rPr>
          <w:rFonts w:ascii="Times New Roman" w:hAnsi="Times New Roman"/>
          <w:lang w:val="es-ES"/>
        </w:rPr>
        <w:t xml:space="preserve"> </w:t>
      </w:r>
      <w:r w:rsidRPr="00622E12">
        <w:rPr>
          <w:rFonts w:ascii="Times New Roman" w:hAnsi="Times New Roman"/>
          <w:i/>
          <w:lang w:val="es-ES"/>
        </w:rPr>
        <w:t>Diario de Sesiones del Congreso de los Diputados</w:t>
      </w:r>
      <w:r w:rsidRPr="00622E12">
        <w:rPr>
          <w:rFonts w:ascii="Times New Roman" w:hAnsi="Times New Roman"/>
          <w:lang w:val="es-ES"/>
        </w:rPr>
        <w:t xml:space="preserve">, </w:t>
      </w:r>
      <w:proofErr w:type="spellStart"/>
      <w:r w:rsidRPr="00622E12">
        <w:rPr>
          <w:rFonts w:ascii="Times New Roman" w:hAnsi="Times New Roman"/>
          <w:lang w:val="es-ES"/>
        </w:rPr>
        <w:t>núm</w:t>
      </w:r>
      <w:proofErr w:type="spellEnd"/>
      <w:r w:rsidRPr="00622E12">
        <w:rPr>
          <w:rFonts w:ascii="Times New Roman" w:hAnsi="Times New Roman"/>
          <w:lang w:val="es-ES"/>
        </w:rPr>
        <w:t xml:space="preserve"> 94, 21 June 1978, p. 3537-3544.</w:t>
      </w:r>
    </w:p>
  </w:footnote>
  <w:footnote w:id="37">
    <w:p w:rsidR="00443EDA" w:rsidRPr="00622E12" w:rsidRDefault="00443EDA" w:rsidP="00606079">
      <w:pPr>
        <w:pStyle w:val="FootnoteText"/>
        <w:spacing w:after="0"/>
        <w:rPr>
          <w:lang w:val="es-ES"/>
        </w:rPr>
      </w:pPr>
      <w:r w:rsidRPr="009009B1">
        <w:rPr>
          <w:rStyle w:val="FootnoteReference"/>
        </w:rPr>
        <w:footnoteRef/>
      </w:r>
      <w:r w:rsidRPr="00622E12">
        <w:rPr>
          <w:rFonts w:ascii="Times New Roman" w:hAnsi="Times New Roman"/>
          <w:lang w:val="es-ES"/>
        </w:rPr>
        <w:t xml:space="preserve"> </w:t>
      </w:r>
      <w:r w:rsidRPr="00622E12">
        <w:rPr>
          <w:rFonts w:ascii="Times New Roman" w:hAnsi="Times New Roman"/>
          <w:i/>
          <w:lang w:val="es-ES"/>
        </w:rPr>
        <w:t>Diario de Sesiones del Congreso de los Diputados</w:t>
      </w:r>
      <w:r w:rsidRPr="00622E12">
        <w:rPr>
          <w:rFonts w:ascii="Times New Roman" w:hAnsi="Times New Roman"/>
          <w:lang w:val="es-ES"/>
        </w:rPr>
        <w:t xml:space="preserve">, </w:t>
      </w:r>
      <w:proofErr w:type="spellStart"/>
      <w:r w:rsidRPr="00622E12">
        <w:rPr>
          <w:rFonts w:ascii="Times New Roman" w:hAnsi="Times New Roman"/>
          <w:lang w:val="es-ES"/>
        </w:rPr>
        <w:t>núm</w:t>
      </w:r>
      <w:proofErr w:type="spellEnd"/>
      <w:r w:rsidRPr="00622E12">
        <w:rPr>
          <w:rFonts w:ascii="Times New Roman" w:hAnsi="Times New Roman"/>
          <w:lang w:val="es-ES"/>
        </w:rPr>
        <w:t xml:space="preserve"> 219, 17 </w:t>
      </w:r>
      <w:proofErr w:type="spellStart"/>
      <w:r w:rsidRPr="00622E12">
        <w:rPr>
          <w:rFonts w:ascii="Times New Roman" w:hAnsi="Times New Roman"/>
          <w:lang w:val="es-ES"/>
        </w:rPr>
        <w:t>February</w:t>
      </w:r>
      <w:proofErr w:type="spellEnd"/>
      <w:r w:rsidRPr="00622E12">
        <w:rPr>
          <w:rFonts w:ascii="Times New Roman" w:hAnsi="Times New Roman"/>
          <w:lang w:val="es-ES"/>
        </w:rPr>
        <w:t xml:space="preserve"> 1988, p7986-7989; </w:t>
      </w:r>
      <w:r w:rsidRPr="00622E12">
        <w:rPr>
          <w:rFonts w:ascii="Times New Roman" w:hAnsi="Times New Roman"/>
          <w:i/>
          <w:lang w:val="es-ES"/>
        </w:rPr>
        <w:t>Diario de Sesiones del Congreso</w:t>
      </w:r>
      <w:r w:rsidRPr="00622E12">
        <w:rPr>
          <w:rFonts w:ascii="Times New Roman" w:hAnsi="Times New Roman"/>
          <w:lang w:val="es-ES"/>
        </w:rPr>
        <w:t xml:space="preserve"> </w:t>
      </w:r>
      <w:r w:rsidRPr="00622E12">
        <w:rPr>
          <w:rFonts w:ascii="Times New Roman" w:hAnsi="Times New Roman"/>
          <w:i/>
          <w:lang w:val="es-ES"/>
        </w:rPr>
        <w:t>de los Diputados</w:t>
      </w:r>
      <w:r w:rsidRPr="00622E12">
        <w:rPr>
          <w:rFonts w:ascii="Times New Roman" w:hAnsi="Times New Roman"/>
          <w:lang w:val="es-ES"/>
        </w:rPr>
        <w:t xml:space="preserve">, </w:t>
      </w:r>
      <w:proofErr w:type="spellStart"/>
      <w:r w:rsidRPr="00622E12">
        <w:rPr>
          <w:rFonts w:ascii="Times New Roman" w:hAnsi="Times New Roman"/>
          <w:lang w:val="es-ES"/>
        </w:rPr>
        <w:t>núm</w:t>
      </w:r>
      <w:proofErr w:type="spellEnd"/>
      <w:r w:rsidRPr="00622E12">
        <w:rPr>
          <w:rFonts w:ascii="Times New Roman" w:hAnsi="Times New Roman"/>
          <w:lang w:val="es-ES"/>
        </w:rPr>
        <w:t xml:space="preserve"> 94, 16 </w:t>
      </w:r>
      <w:proofErr w:type="spellStart"/>
      <w:r w:rsidRPr="00622E12">
        <w:rPr>
          <w:rFonts w:ascii="Times New Roman" w:hAnsi="Times New Roman"/>
          <w:lang w:val="es-ES"/>
        </w:rPr>
        <w:t>March</w:t>
      </w:r>
      <w:proofErr w:type="spellEnd"/>
      <w:r w:rsidRPr="00622E12">
        <w:rPr>
          <w:rFonts w:ascii="Times New Roman" w:hAnsi="Times New Roman"/>
          <w:lang w:val="es-ES"/>
        </w:rPr>
        <w:t xml:space="preserve"> 1988, p. 5887-5944.</w:t>
      </w:r>
    </w:p>
  </w:footnote>
  <w:footnote w:id="38">
    <w:p w:rsidR="00443EDA" w:rsidRPr="00622E12" w:rsidRDefault="00443EDA" w:rsidP="00606079">
      <w:pPr>
        <w:pStyle w:val="FootnoteText"/>
        <w:spacing w:after="0"/>
        <w:rPr>
          <w:lang w:val="es-ES"/>
        </w:rPr>
      </w:pPr>
      <w:r>
        <w:rPr>
          <w:rStyle w:val="FootnoteReference"/>
        </w:rPr>
        <w:footnoteRef/>
      </w:r>
      <w:r w:rsidRPr="00F96851">
        <w:rPr>
          <w:lang w:val="es-ES"/>
        </w:rPr>
        <w:t xml:space="preserve"> </w:t>
      </w:r>
      <w:r w:rsidRPr="009009B1">
        <w:rPr>
          <w:rFonts w:ascii="Times New Roman" w:hAnsi="Times New Roman"/>
          <w:i/>
          <w:lang w:val="es-ES"/>
        </w:rPr>
        <w:t>Diario de Sesiones del Congreso de los Diputados</w:t>
      </w:r>
      <w:r w:rsidRPr="009009B1">
        <w:rPr>
          <w:rFonts w:ascii="Times New Roman" w:hAnsi="Times New Roman"/>
          <w:lang w:val="es-ES"/>
        </w:rPr>
        <w:t xml:space="preserve">, </w:t>
      </w:r>
      <w:proofErr w:type="spellStart"/>
      <w:r w:rsidRPr="009009B1">
        <w:rPr>
          <w:rFonts w:ascii="Times New Roman" w:hAnsi="Times New Roman"/>
          <w:lang w:val="es-ES"/>
        </w:rPr>
        <w:t>núm</w:t>
      </w:r>
      <w:proofErr w:type="spellEnd"/>
      <w:r w:rsidRPr="009009B1">
        <w:rPr>
          <w:rFonts w:ascii="Times New Roman" w:hAnsi="Times New Roman"/>
          <w:lang w:val="es-ES"/>
        </w:rPr>
        <w:t xml:space="preserve"> 164, 23 </w:t>
      </w:r>
      <w:proofErr w:type="spellStart"/>
      <w:r w:rsidRPr="009009B1">
        <w:rPr>
          <w:rFonts w:ascii="Times New Roman" w:hAnsi="Times New Roman"/>
          <w:lang w:val="es-ES"/>
        </w:rPr>
        <w:t>May</w:t>
      </w:r>
      <w:proofErr w:type="spellEnd"/>
      <w:r w:rsidRPr="009009B1">
        <w:rPr>
          <w:rFonts w:ascii="Times New Roman" w:hAnsi="Times New Roman"/>
          <w:lang w:val="es-ES"/>
        </w:rPr>
        <w:t xml:space="preserve"> 2002,  p. 2899-8327 </w:t>
      </w:r>
    </w:p>
  </w:footnote>
  <w:footnote w:id="39">
    <w:p w:rsidR="00443EDA" w:rsidRDefault="00443EDA" w:rsidP="00606079">
      <w:pPr>
        <w:pStyle w:val="FootnoteText"/>
        <w:spacing w:after="0"/>
      </w:pPr>
      <w:r w:rsidRPr="009009B1">
        <w:rPr>
          <w:rStyle w:val="FootnoteReference"/>
        </w:rPr>
        <w:footnoteRef/>
      </w:r>
      <w:r w:rsidRPr="009009B1">
        <w:rPr>
          <w:rFonts w:ascii="Times New Roman" w:hAnsi="Times New Roman"/>
        </w:rPr>
        <w:t xml:space="preserve"> </w:t>
      </w:r>
      <w:r w:rsidRPr="009009B1">
        <w:rPr>
          <w:rFonts w:ascii="Times New Roman" w:hAnsi="Times New Roman"/>
          <w:i/>
        </w:rPr>
        <w:t>Official Report</w:t>
      </w:r>
      <w:r w:rsidRPr="009009B1">
        <w:rPr>
          <w:rFonts w:ascii="Times New Roman" w:hAnsi="Times New Roman"/>
        </w:rPr>
        <w:t xml:space="preserve">, </w:t>
      </w:r>
      <w:proofErr w:type="spellStart"/>
      <w:r w:rsidRPr="009009B1">
        <w:rPr>
          <w:rFonts w:ascii="Times New Roman" w:hAnsi="Times New Roman"/>
        </w:rPr>
        <w:t>vol</w:t>
      </w:r>
      <w:proofErr w:type="spellEnd"/>
      <w:r w:rsidRPr="009009B1">
        <w:rPr>
          <w:rFonts w:ascii="Times New Roman" w:hAnsi="Times New Roman"/>
        </w:rPr>
        <w:t xml:space="preserve"> 40 (1956-1957), 18 December 1956, c. 3183-3121</w:t>
      </w:r>
    </w:p>
  </w:footnote>
  <w:footnote w:id="40">
    <w:p w:rsidR="00443EDA" w:rsidRDefault="00443EDA" w:rsidP="009009B1">
      <w:pPr>
        <w:pStyle w:val="FootnoteText"/>
        <w:spacing w:after="0"/>
      </w:pPr>
      <w:r w:rsidRPr="009009B1">
        <w:rPr>
          <w:rStyle w:val="FootnoteReference"/>
        </w:rPr>
        <w:footnoteRef/>
      </w:r>
      <w:r w:rsidRPr="009009B1">
        <w:rPr>
          <w:rFonts w:ascii="Times New Roman" w:hAnsi="Times New Roman"/>
        </w:rPr>
        <w:t xml:space="preserve"> </w:t>
      </w:r>
      <w:r w:rsidRPr="009009B1">
        <w:rPr>
          <w:rFonts w:ascii="Times New Roman" w:hAnsi="Times New Roman"/>
          <w:i/>
        </w:rPr>
        <w:t>Official Report</w:t>
      </w:r>
      <w:r w:rsidRPr="009009B1">
        <w:rPr>
          <w:rFonts w:ascii="Times New Roman" w:hAnsi="Times New Roman"/>
        </w:rPr>
        <w:t xml:space="preserve">, </w:t>
      </w:r>
      <w:proofErr w:type="spellStart"/>
      <w:r w:rsidRPr="009009B1">
        <w:rPr>
          <w:rFonts w:ascii="Times New Roman" w:hAnsi="Times New Roman"/>
        </w:rPr>
        <w:t>vol</w:t>
      </w:r>
      <w:proofErr w:type="spellEnd"/>
      <w:r w:rsidRPr="009009B1">
        <w:rPr>
          <w:rFonts w:ascii="Times New Roman" w:hAnsi="Times New Roman"/>
        </w:rPr>
        <w:t xml:space="preserve"> 66, (1967), 16 March 1967, 143-202</w:t>
      </w:r>
    </w:p>
  </w:footnote>
  <w:footnote w:id="41">
    <w:p w:rsidR="00443EDA" w:rsidRDefault="00443EDA" w:rsidP="009009B1">
      <w:pPr>
        <w:pStyle w:val="FootnoteText"/>
        <w:spacing w:after="0"/>
      </w:pPr>
      <w:r w:rsidRPr="009009B1">
        <w:rPr>
          <w:rStyle w:val="FootnoteReference"/>
        </w:rPr>
        <w:footnoteRef/>
      </w:r>
      <w:r w:rsidRPr="009009B1">
        <w:rPr>
          <w:rFonts w:ascii="Times New Roman" w:hAnsi="Times New Roman"/>
        </w:rPr>
        <w:t xml:space="preserve"> </w:t>
      </w:r>
      <w:r w:rsidRPr="00847DBA">
        <w:rPr>
          <w:rFonts w:ascii="Times New Roman" w:hAnsi="Times New Roman"/>
        </w:rPr>
        <w:t xml:space="preserve">HC Debate 14 May 1973, </w:t>
      </w:r>
      <w:proofErr w:type="spellStart"/>
      <w:r w:rsidRPr="00847DBA">
        <w:rPr>
          <w:rFonts w:ascii="Times New Roman" w:hAnsi="Times New Roman"/>
        </w:rPr>
        <w:t>vol</w:t>
      </w:r>
      <w:proofErr w:type="spellEnd"/>
      <w:r w:rsidRPr="00847DBA">
        <w:rPr>
          <w:rFonts w:ascii="Times New Roman" w:hAnsi="Times New Roman"/>
        </w:rPr>
        <w:t xml:space="preserve"> 856, c 1147-71</w:t>
      </w:r>
    </w:p>
  </w:footnote>
  <w:footnote w:id="42">
    <w:p w:rsidR="00443EDA" w:rsidRDefault="00443EDA" w:rsidP="009009B1">
      <w:pPr>
        <w:pStyle w:val="FootnoteText"/>
        <w:spacing w:after="0"/>
      </w:pPr>
      <w:r w:rsidRPr="009009B1">
        <w:rPr>
          <w:rStyle w:val="FootnoteReference"/>
        </w:rPr>
        <w:footnoteRef/>
      </w:r>
      <w:r w:rsidRPr="009009B1">
        <w:rPr>
          <w:rFonts w:ascii="Times New Roman" w:hAnsi="Times New Roman"/>
        </w:rPr>
        <w:t xml:space="preserve"> </w:t>
      </w:r>
      <w:r w:rsidRPr="00847DBA">
        <w:rPr>
          <w:rFonts w:ascii="Times New Roman" w:hAnsi="Times New Roman"/>
        </w:rPr>
        <w:t>HC Debate 4 April 1974, vol. 871, cc 1417-1589</w:t>
      </w:r>
      <w:r>
        <w:rPr>
          <w:rFonts w:ascii="Times New Roman" w:hAnsi="Times New Roman"/>
        </w:rPr>
        <w:t xml:space="preserve">; </w:t>
      </w:r>
      <w:r w:rsidRPr="00847DBA">
        <w:rPr>
          <w:rFonts w:ascii="Times New Roman" w:hAnsi="Times New Roman"/>
        </w:rPr>
        <w:t xml:space="preserve">HL Debate 15 May 1974, </w:t>
      </w:r>
      <w:proofErr w:type="spellStart"/>
      <w:r w:rsidRPr="00847DBA">
        <w:rPr>
          <w:rFonts w:ascii="Times New Roman" w:hAnsi="Times New Roman"/>
        </w:rPr>
        <w:t>vol</w:t>
      </w:r>
      <w:proofErr w:type="spellEnd"/>
      <w:r w:rsidRPr="00847DBA">
        <w:rPr>
          <w:rFonts w:ascii="Times New Roman" w:hAnsi="Times New Roman"/>
        </w:rPr>
        <w:t xml:space="preserve"> 351 cc 1092-5</w:t>
      </w:r>
    </w:p>
  </w:footnote>
  <w:footnote w:id="43">
    <w:p w:rsidR="00443EDA" w:rsidRDefault="00443EDA" w:rsidP="009009B1">
      <w:pPr>
        <w:pStyle w:val="FootnoteText"/>
        <w:spacing w:after="0"/>
      </w:pPr>
      <w:r w:rsidRPr="009009B1">
        <w:rPr>
          <w:rStyle w:val="FootnoteReference"/>
        </w:rPr>
        <w:footnoteRef/>
      </w:r>
      <w:r w:rsidRPr="009009B1">
        <w:rPr>
          <w:rFonts w:ascii="Times New Roman" w:hAnsi="Times New Roman"/>
        </w:rPr>
        <w:t xml:space="preserve"> </w:t>
      </w:r>
      <w:proofErr w:type="gramStart"/>
      <w:r w:rsidRPr="009009B1">
        <w:rPr>
          <w:rFonts w:ascii="Times New Roman" w:hAnsi="Times New Roman"/>
          <w:i/>
        </w:rPr>
        <w:t xml:space="preserve">Northern Ireland Constitutional Proposals, </w:t>
      </w:r>
      <w:r w:rsidRPr="009009B1">
        <w:rPr>
          <w:rFonts w:ascii="Times New Roman" w:hAnsi="Times New Roman"/>
        </w:rPr>
        <w:t xml:space="preserve">1973, </w:t>
      </w:r>
      <w:proofErr w:type="spellStart"/>
      <w:r w:rsidRPr="009009B1">
        <w:rPr>
          <w:rFonts w:ascii="Times New Roman" w:hAnsi="Times New Roman"/>
        </w:rPr>
        <w:t>Cmnd</w:t>
      </w:r>
      <w:proofErr w:type="spellEnd"/>
      <w:r w:rsidRPr="009009B1">
        <w:rPr>
          <w:rFonts w:ascii="Times New Roman" w:hAnsi="Times New Roman"/>
        </w:rPr>
        <w:t xml:space="preserve"> 5259.</w:t>
      </w:r>
      <w:proofErr w:type="gramEnd"/>
    </w:p>
  </w:footnote>
  <w:footnote w:id="44">
    <w:p w:rsidR="00443EDA" w:rsidRDefault="00443EDA" w:rsidP="00F65FA6">
      <w:pPr>
        <w:pStyle w:val="FootnoteText"/>
        <w:spacing w:after="0"/>
      </w:pPr>
      <w:r>
        <w:rPr>
          <w:rStyle w:val="FootnoteReference"/>
        </w:rPr>
        <w:footnoteRef/>
      </w:r>
      <w:r>
        <w:t xml:space="preserve"> </w:t>
      </w:r>
      <w:proofErr w:type="gramStart"/>
      <w:r w:rsidRPr="009009B1">
        <w:rPr>
          <w:rFonts w:ascii="Times New Roman" w:hAnsi="Times New Roman"/>
          <w:i/>
        </w:rPr>
        <w:t>Official Report</w:t>
      </w:r>
      <w:r w:rsidRPr="009009B1">
        <w:rPr>
          <w:rFonts w:ascii="Times New Roman" w:hAnsi="Times New Roman"/>
        </w:rPr>
        <w:t>,</w:t>
      </w:r>
      <w:r w:rsidRPr="00F65FA6">
        <w:t xml:space="preserve"> </w:t>
      </w:r>
      <w:proofErr w:type="spellStart"/>
      <w:r w:rsidRPr="009009B1">
        <w:rPr>
          <w:rFonts w:ascii="Times New Roman" w:hAnsi="Times New Roman"/>
        </w:rPr>
        <w:t>vol</w:t>
      </w:r>
      <w:proofErr w:type="spellEnd"/>
      <w:r w:rsidRPr="009009B1">
        <w:rPr>
          <w:rFonts w:ascii="Times New Roman" w:hAnsi="Times New Roman"/>
        </w:rPr>
        <w:t xml:space="preserve"> 65</w:t>
      </w:r>
      <w:r>
        <w:rPr>
          <w:rFonts w:ascii="Times New Roman" w:hAnsi="Times New Roman"/>
        </w:rPr>
        <w:t xml:space="preserve"> (1967)</w:t>
      </w:r>
      <w:r w:rsidRPr="009009B1">
        <w:rPr>
          <w:rFonts w:ascii="Times New Roman" w:hAnsi="Times New Roman"/>
        </w:rPr>
        <w:t>, c 1810, 8 March 1967.</w:t>
      </w:r>
      <w:proofErr w:type="gramEnd"/>
    </w:p>
  </w:footnote>
  <w:footnote w:id="45">
    <w:p w:rsidR="00443EDA" w:rsidRDefault="00443EDA" w:rsidP="00F65FA6">
      <w:pPr>
        <w:pStyle w:val="NormalWeb"/>
        <w:spacing w:before="0" w:beforeAutospacing="0" w:after="0" w:afterAutospacing="0"/>
      </w:pPr>
      <w:r w:rsidRPr="00847DBA">
        <w:rPr>
          <w:rStyle w:val="FootnoteReference"/>
          <w:sz w:val="20"/>
          <w:szCs w:val="20"/>
        </w:rPr>
        <w:footnoteRef/>
      </w:r>
      <w:r w:rsidRPr="00847DBA">
        <w:rPr>
          <w:sz w:val="20"/>
          <w:szCs w:val="20"/>
        </w:rPr>
        <w:t xml:space="preserve"> </w:t>
      </w:r>
      <w:proofErr w:type="gramStart"/>
      <w:r w:rsidRPr="00F65FA6">
        <w:rPr>
          <w:i/>
          <w:sz w:val="20"/>
          <w:szCs w:val="20"/>
        </w:rPr>
        <w:t>Official Report</w:t>
      </w:r>
      <w:r w:rsidRPr="00847DBA">
        <w:rPr>
          <w:sz w:val="20"/>
          <w:szCs w:val="20"/>
        </w:rPr>
        <w:t xml:space="preserve">, </w:t>
      </w:r>
      <w:proofErr w:type="spellStart"/>
      <w:r w:rsidRPr="00847DBA">
        <w:rPr>
          <w:sz w:val="20"/>
          <w:szCs w:val="20"/>
        </w:rPr>
        <w:t>vol</w:t>
      </w:r>
      <w:proofErr w:type="spellEnd"/>
      <w:r w:rsidRPr="00847DBA">
        <w:rPr>
          <w:sz w:val="20"/>
          <w:szCs w:val="20"/>
        </w:rPr>
        <w:t xml:space="preserve"> 40 (956/57), c. 3189-90, 18 December 1956.</w:t>
      </w:r>
      <w:proofErr w:type="gramEnd"/>
    </w:p>
  </w:footnote>
  <w:footnote w:id="46">
    <w:p w:rsidR="00443EDA" w:rsidRDefault="00443EDA" w:rsidP="00C031E1">
      <w:pPr>
        <w:pStyle w:val="FootnoteText"/>
        <w:spacing w:after="0" w:line="240" w:lineRule="auto"/>
      </w:pPr>
      <w:r w:rsidRPr="00847DBA">
        <w:rPr>
          <w:rStyle w:val="FootnoteReference"/>
        </w:rPr>
        <w:footnoteRef/>
      </w:r>
      <w:r w:rsidRPr="00847DBA">
        <w:rPr>
          <w:rFonts w:ascii="Times New Roman" w:hAnsi="Times New Roman"/>
        </w:rPr>
        <w:t xml:space="preserve"> </w:t>
      </w:r>
      <w:proofErr w:type="gramStart"/>
      <w:r w:rsidRPr="00B25922">
        <w:rPr>
          <w:rFonts w:ascii="Times New Roman" w:hAnsi="Times New Roman"/>
          <w:i/>
        </w:rPr>
        <w:t>Official Report</w:t>
      </w:r>
      <w:r w:rsidRPr="00847DBA">
        <w:rPr>
          <w:rFonts w:ascii="Times New Roman" w:hAnsi="Times New Roman"/>
        </w:rPr>
        <w:t xml:space="preserve">, </w:t>
      </w:r>
      <w:proofErr w:type="spellStart"/>
      <w:r w:rsidRPr="00847DBA">
        <w:rPr>
          <w:rFonts w:ascii="Times New Roman" w:hAnsi="Times New Roman"/>
        </w:rPr>
        <w:t>vol</w:t>
      </w:r>
      <w:proofErr w:type="spellEnd"/>
      <w:r w:rsidRPr="00847DBA">
        <w:rPr>
          <w:rFonts w:ascii="Times New Roman" w:hAnsi="Times New Roman"/>
        </w:rPr>
        <w:t xml:space="preserve"> 40 (1956/57), c. 3189-90, 18 December 1956.</w:t>
      </w:r>
      <w:proofErr w:type="gramEnd"/>
    </w:p>
  </w:footnote>
  <w:footnote w:id="47">
    <w:p w:rsidR="00443EDA" w:rsidRDefault="00443EDA" w:rsidP="00C031E1">
      <w:pPr>
        <w:pStyle w:val="FootnoteText"/>
        <w:spacing w:after="0" w:line="240" w:lineRule="auto"/>
      </w:pPr>
      <w:r w:rsidRPr="00847DBA">
        <w:rPr>
          <w:rStyle w:val="FootnoteReference"/>
        </w:rPr>
        <w:footnoteRef/>
      </w:r>
      <w:r w:rsidRPr="00847DBA">
        <w:rPr>
          <w:rFonts w:ascii="Times New Roman" w:hAnsi="Times New Roman"/>
        </w:rPr>
        <w:t xml:space="preserve"> </w:t>
      </w:r>
      <w:proofErr w:type="gramStart"/>
      <w:r w:rsidRPr="00B25922">
        <w:rPr>
          <w:rFonts w:ascii="Times New Roman" w:hAnsi="Times New Roman"/>
          <w:i/>
        </w:rPr>
        <w:t>Official Report</w:t>
      </w:r>
      <w:r w:rsidRPr="00847DBA">
        <w:rPr>
          <w:rFonts w:ascii="Times New Roman" w:hAnsi="Times New Roman"/>
        </w:rPr>
        <w:t xml:space="preserve">, </w:t>
      </w:r>
      <w:proofErr w:type="spellStart"/>
      <w:r w:rsidRPr="00847DBA">
        <w:rPr>
          <w:rFonts w:ascii="Times New Roman" w:hAnsi="Times New Roman"/>
        </w:rPr>
        <w:t>vol</w:t>
      </w:r>
      <w:proofErr w:type="spellEnd"/>
      <w:r w:rsidRPr="00847DBA">
        <w:rPr>
          <w:rFonts w:ascii="Times New Roman" w:hAnsi="Times New Roman"/>
        </w:rPr>
        <w:t xml:space="preserve"> 40 (1956/57), c. 3189-90, 18 December 1956.</w:t>
      </w:r>
      <w:proofErr w:type="gramEnd"/>
    </w:p>
  </w:footnote>
  <w:footnote w:id="48">
    <w:p w:rsidR="00443EDA" w:rsidRDefault="00443EDA" w:rsidP="00C031E1">
      <w:pPr>
        <w:pStyle w:val="FootnoteText"/>
        <w:spacing w:after="0" w:line="240" w:lineRule="auto"/>
      </w:pPr>
      <w:r w:rsidRPr="00847DBA">
        <w:rPr>
          <w:rStyle w:val="FootnoteReference"/>
        </w:rPr>
        <w:footnoteRef/>
      </w:r>
      <w:r w:rsidRPr="00847DBA">
        <w:rPr>
          <w:rFonts w:ascii="Times New Roman" w:hAnsi="Times New Roman"/>
        </w:rPr>
        <w:t xml:space="preserve"> </w:t>
      </w:r>
      <w:proofErr w:type="gramStart"/>
      <w:r w:rsidRPr="00B25922">
        <w:rPr>
          <w:rFonts w:ascii="Times New Roman" w:hAnsi="Times New Roman"/>
          <w:i/>
        </w:rPr>
        <w:t>Official Report</w:t>
      </w:r>
      <w:r w:rsidRPr="00847DBA">
        <w:rPr>
          <w:rFonts w:ascii="Times New Roman" w:hAnsi="Times New Roman"/>
        </w:rPr>
        <w:t>, vo0l 66 (1967), c149-50, 16 March 1967.</w:t>
      </w:r>
      <w:proofErr w:type="gramEnd"/>
    </w:p>
  </w:footnote>
  <w:footnote w:id="49">
    <w:p w:rsidR="00443EDA" w:rsidRDefault="00443EDA" w:rsidP="00C031E1">
      <w:pPr>
        <w:pStyle w:val="FootnoteText"/>
        <w:spacing w:after="0" w:line="240" w:lineRule="auto"/>
      </w:pPr>
      <w:r w:rsidRPr="00847DBA">
        <w:rPr>
          <w:rStyle w:val="FootnoteReference"/>
        </w:rPr>
        <w:footnoteRef/>
      </w:r>
      <w:r w:rsidRPr="00847DBA">
        <w:rPr>
          <w:rFonts w:ascii="Times New Roman" w:hAnsi="Times New Roman"/>
        </w:rPr>
        <w:t xml:space="preserve"> </w:t>
      </w:r>
      <w:proofErr w:type="gramStart"/>
      <w:r w:rsidRPr="00B25922">
        <w:rPr>
          <w:rFonts w:ascii="Times New Roman" w:hAnsi="Times New Roman"/>
          <w:i/>
        </w:rPr>
        <w:t>Official Report</w:t>
      </w:r>
      <w:r w:rsidRPr="00847DBA">
        <w:rPr>
          <w:rFonts w:ascii="Times New Roman" w:hAnsi="Times New Roman"/>
        </w:rPr>
        <w:t xml:space="preserve">, </w:t>
      </w:r>
      <w:proofErr w:type="spellStart"/>
      <w:r w:rsidRPr="00847DBA">
        <w:rPr>
          <w:rFonts w:ascii="Times New Roman" w:hAnsi="Times New Roman"/>
        </w:rPr>
        <w:t>vol</w:t>
      </w:r>
      <w:proofErr w:type="spellEnd"/>
      <w:r w:rsidRPr="00847DBA">
        <w:rPr>
          <w:rFonts w:ascii="Times New Roman" w:hAnsi="Times New Roman"/>
        </w:rPr>
        <w:t xml:space="preserve"> 65</w:t>
      </w:r>
      <w:r>
        <w:rPr>
          <w:rFonts w:ascii="Times New Roman" w:hAnsi="Times New Roman"/>
        </w:rPr>
        <w:t xml:space="preserve"> (1967)</w:t>
      </w:r>
      <w:r w:rsidRPr="00847DBA">
        <w:rPr>
          <w:rFonts w:ascii="Times New Roman" w:hAnsi="Times New Roman"/>
        </w:rPr>
        <w:t>, c. 1764, 7 March 1967.</w:t>
      </w:r>
      <w:proofErr w:type="gramEnd"/>
      <w:r w:rsidRPr="00847DBA">
        <w:rPr>
          <w:rFonts w:ascii="Times New Roman" w:hAnsi="Times New Roman"/>
        </w:rPr>
        <w:t xml:space="preserve"> </w:t>
      </w:r>
    </w:p>
  </w:footnote>
  <w:footnote w:id="50">
    <w:p w:rsidR="00443EDA" w:rsidRDefault="00443EDA" w:rsidP="00C031E1">
      <w:pPr>
        <w:pStyle w:val="FootnoteText"/>
        <w:spacing w:after="0" w:line="240" w:lineRule="auto"/>
      </w:pPr>
      <w:r w:rsidRPr="00847DBA">
        <w:rPr>
          <w:rStyle w:val="FootnoteReference"/>
        </w:rPr>
        <w:footnoteRef/>
      </w:r>
      <w:r w:rsidRPr="00847DBA">
        <w:rPr>
          <w:rFonts w:ascii="Times New Roman" w:hAnsi="Times New Roman"/>
        </w:rPr>
        <w:t xml:space="preserve"> </w:t>
      </w:r>
      <w:r w:rsidRPr="00B25922">
        <w:rPr>
          <w:rFonts w:ascii="Times New Roman" w:hAnsi="Times New Roman"/>
          <w:i/>
        </w:rPr>
        <w:t>Official Report</w:t>
      </w:r>
      <w:r w:rsidRPr="00847DBA">
        <w:rPr>
          <w:rFonts w:ascii="Times New Roman" w:hAnsi="Times New Roman"/>
        </w:rPr>
        <w:t xml:space="preserve">, </w:t>
      </w:r>
      <w:proofErr w:type="spellStart"/>
      <w:r w:rsidRPr="00847DBA">
        <w:rPr>
          <w:rFonts w:ascii="Times New Roman" w:hAnsi="Times New Roman"/>
        </w:rPr>
        <w:t>vol</w:t>
      </w:r>
      <w:proofErr w:type="spellEnd"/>
      <w:r w:rsidRPr="00847DBA">
        <w:rPr>
          <w:rFonts w:ascii="Times New Roman" w:hAnsi="Times New Roman"/>
        </w:rPr>
        <w:t xml:space="preserve"> 66</w:t>
      </w:r>
      <w:r>
        <w:rPr>
          <w:rFonts w:ascii="Times New Roman" w:hAnsi="Times New Roman"/>
        </w:rPr>
        <w:t xml:space="preserve"> (1967)</w:t>
      </w:r>
      <w:r w:rsidRPr="00847DBA">
        <w:rPr>
          <w:rFonts w:ascii="Times New Roman" w:hAnsi="Times New Roman"/>
        </w:rPr>
        <w:t xml:space="preserve">, c. 149, 16 March 1967 </w:t>
      </w:r>
    </w:p>
  </w:footnote>
  <w:footnote w:id="51">
    <w:p w:rsidR="00443EDA" w:rsidRDefault="00443EDA" w:rsidP="00C031E1">
      <w:pPr>
        <w:pStyle w:val="FootnoteText"/>
        <w:spacing w:after="0" w:line="240" w:lineRule="auto"/>
      </w:pPr>
      <w:r w:rsidRPr="00847DBA">
        <w:rPr>
          <w:rStyle w:val="FootnoteReference"/>
        </w:rPr>
        <w:footnoteRef/>
      </w:r>
      <w:r w:rsidRPr="00847DBA">
        <w:rPr>
          <w:rFonts w:ascii="Times New Roman" w:hAnsi="Times New Roman"/>
        </w:rPr>
        <w:t xml:space="preserve"> </w:t>
      </w:r>
      <w:proofErr w:type="gramStart"/>
      <w:r w:rsidRPr="00B25922">
        <w:rPr>
          <w:rFonts w:ascii="Times New Roman" w:hAnsi="Times New Roman"/>
          <w:i/>
        </w:rPr>
        <w:t>Official Report</w:t>
      </w:r>
      <w:r w:rsidRPr="00847DBA">
        <w:rPr>
          <w:rFonts w:ascii="Times New Roman" w:hAnsi="Times New Roman"/>
        </w:rPr>
        <w:t xml:space="preserve">, </w:t>
      </w:r>
      <w:proofErr w:type="spellStart"/>
      <w:r w:rsidRPr="00847DBA">
        <w:rPr>
          <w:rFonts w:ascii="Times New Roman" w:hAnsi="Times New Roman"/>
        </w:rPr>
        <w:t>vol</w:t>
      </w:r>
      <w:proofErr w:type="spellEnd"/>
      <w:r w:rsidRPr="00847DBA">
        <w:rPr>
          <w:rFonts w:ascii="Times New Roman" w:hAnsi="Times New Roman"/>
        </w:rPr>
        <w:t xml:space="preserve"> 65</w:t>
      </w:r>
      <w:r>
        <w:rPr>
          <w:rFonts w:ascii="Times New Roman" w:hAnsi="Times New Roman"/>
        </w:rPr>
        <w:t xml:space="preserve"> (1967)</w:t>
      </w:r>
      <w:r w:rsidRPr="00847DBA">
        <w:rPr>
          <w:rFonts w:ascii="Times New Roman" w:hAnsi="Times New Roman"/>
        </w:rPr>
        <w:t>, c. 1825, 7 March 1967.</w:t>
      </w:r>
      <w:proofErr w:type="gramEnd"/>
    </w:p>
  </w:footnote>
  <w:footnote w:id="52">
    <w:p w:rsidR="00443EDA" w:rsidRDefault="00443EDA" w:rsidP="00C031E1">
      <w:pPr>
        <w:pStyle w:val="FootnoteText"/>
        <w:spacing w:after="0" w:line="240" w:lineRule="auto"/>
      </w:pPr>
      <w:r w:rsidRPr="00847DBA">
        <w:rPr>
          <w:rStyle w:val="FootnoteReference"/>
        </w:rPr>
        <w:footnoteRef/>
      </w:r>
      <w:r w:rsidRPr="00847DBA">
        <w:rPr>
          <w:rFonts w:ascii="Times New Roman" w:hAnsi="Times New Roman"/>
        </w:rPr>
        <w:t xml:space="preserve"> </w:t>
      </w:r>
      <w:proofErr w:type="gramStart"/>
      <w:r w:rsidRPr="00B25922">
        <w:rPr>
          <w:rFonts w:ascii="Times New Roman" w:hAnsi="Times New Roman"/>
          <w:i/>
        </w:rPr>
        <w:t>Official Report</w:t>
      </w:r>
      <w:r w:rsidRPr="00847DBA">
        <w:rPr>
          <w:rFonts w:ascii="Times New Roman" w:hAnsi="Times New Roman"/>
        </w:rPr>
        <w:t xml:space="preserve">, </w:t>
      </w:r>
      <w:proofErr w:type="spellStart"/>
      <w:r w:rsidRPr="00847DBA">
        <w:rPr>
          <w:rFonts w:ascii="Times New Roman" w:hAnsi="Times New Roman"/>
        </w:rPr>
        <w:t>vol</w:t>
      </w:r>
      <w:proofErr w:type="spellEnd"/>
      <w:r w:rsidRPr="00847DBA">
        <w:rPr>
          <w:rFonts w:ascii="Times New Roman" w:hAnsi="Times New Roman"/>
        </w:rPr>
        <w:t xml:space="preserve"> 65</w:t>
      </w:r>
      <w:r>
        <w:rPr>
          <w:rFonts w:ascii="Times New Roman" w:hAnsi="Times New Roman"/>
        </w:rPr>
        <w:t xml:space="preserve"> (1967)</w:t>
      </w:r>
      <w:r w:rsidRPr="00847DBA">
        <w:rPr>
          <w:rFonts w:ascii="Times New Roman" w:hAnsi="Times New Roman"/>
        </w:rPr>
        <w:t>, c. 1825, 7 March 1967.</w:t>
      </w:r>
      <w:proofErr w:type="gramEnd"/>
    </w:p>
  </w:footnote>
  <w:footnote w:id="53">
    <w:p w:rsidR="00443EDA" w:rsidRDefault="00443EDA" w:rsidP="00C031E1">
      <w:pPr>
        <w:pStyle w:val="FootnoteText"/>
        <w:spacing w:after="0" w:line="240" w:lineRule="auto"/>
      </w:pPr>
      <w:r w:rsidRPr="00847DBA">
        <w:rPr>
          <w:rStyle w:val="FootnoteReference"/>
        </w:rPr>
        <w:footnoteRef/>
      </w:r>
      <w:r w:rsidRPr="00847DBA">
        <w:rPr>
          <w:rFonts w:ascii="Times New Roman" w:hAnsi="Times New Roman"/>
        </w:rPr>
        <w:t xml:space="preserve"> </w:t>
      </w:r>
      <w:r w:rsidRPr="00F65FA6">
        <w:rPr>
          <w:rFonts w:ascii="Times New Roman" w:hAnsi="Times New Roman"/>
          <w:i/>
        </w:rPr>
        <w:t>Official Report</w:t>
      </w:r>
      <w:r w:rsidRPr="00847DBA">
        <w:rPr>
          <w:rFonts w:ascii="Times New Roman" w:hAnsi="Times New Roman"/>
        </w:rPr>
        <w:t>, vol. 65</w:t>
      </w:r>
      <w:r>
        <w:rPr>
          <w:rFonts w:ascii="Times New Roman" w:hAnsi="Times New Roman"/>
        </w:rPr>
        <w:t xml:space="preserve"> (1967)</w:t>
      </w:r>
      <w:r w:rsidRPr="00847DBA">
        <w:rPr>
          <w:rFonts w:ascii="Times New Roman" w:hAnsi="Times New Roman"/>
        </w:rPr>
        <w:t>, c. 1810, 8 March 1967</w:t>
      </w:r>
    </w:p>
  </w:footnote>
  <w:footnote w:id="54">
    <w:p w:rsidR="00443EDA" w:rsidRPr="00622E12" w:rsidRDefault="00443EDA" w:rsidP="00C2511F">
      <w:pPr>
        <w:pStyle w:val="FootnoteText"/>
        <w:rPr>
          <w:lang w:val="es-ES"/>
        </w:rPr>
      </w:pPr>
      <w:r>
        <w:rPr>
          <w:rStyle w:val="FootnoteReference"/>
        </w:rPr>
        <w:footnoteRef/>
      </w:r>
      <w:r w:rsidRPr="00F96851">
        <w:rPr>
          <w:lang w:val="es-ES"/>
        </w:rPr>
        <w:t xml:space="preserve"> </w:t>
      </w:r>
      <w:r w:rsidRPr="009009B1">
        <w:rPr>
          <w:rFonts w:ascii="Times New Roman" w:hAnsi="Times New Roman"/>
          <w:i/>
          <w:lang w:val="es-ES"/>
        </w:rPr>
        <w:t>Diario de Sesiones del Congreso de los Diputados</w:t>
      </w:r>
      <w:r w:rsidRPr="009009B1">
        <w:rPr>
          <w:rFonts w:ascii="Times New Roman" w:hAnsi="Times New Roman"/>
          <w:lang w:val="es-ES"/>
        </w:rPr>
        <w:t xml:space="preserve">, </w:t>
      </w:r>
      <w:proofErr w:type="spellStart"/>
      <w:r w:rsidRPr="009009B1">
        <w:rPr>
          <w:rFonts w:ascii="Times New Roman" w:hAnsi="Times New Roman"/>
          <w:lang w:val="es-ES"/>
        </w:rPr>
        <w:t>núm</w:t>
      </w:r>
      <w:proofErr w:type="spellEnd"/>
      <w:r w:rsidRPr="009009B1">
        <w:rPr>
          <w:rFonts w:ascii="Times New Roman" w:hAnsi="Times New Roman"/>
          <w:lang w:val="es-ES"/>
        </w:rPr>
        <w:t xml:space="preserve"> 164, 23 </w:t>
      </w:r>
      <w:proofErr w:type="spellStart"/>
      <w:r w:rsidRPr="009009B1">
        <w:rPr>
          <w:rFonts w:ascii="Times New Roman" w:hAnsi="Times New Roman"/>
          <w:lang w:val="es-ES"/>
        </w:rPr>
        <w:t>May</w:t>
      </w:r>
      <w:proofErr w:type="spellEnd"/>
      <w:r w:rsidRPr="009009B1">
        <w:rPr>
          <w:rFonts w:ascii="Times New Roman" w:hAnsi="Times New Roman"/>
          <w:lang w:val="es-ES"/>
        </w:rPr>
        <w:t xml:space="preserve"> 2002,  p. 2899-8327 </w:t>
      </w:r>
    </w:p>
  </w:footnote>
  <w:footnote w:id="55">
    <w:p w:rsidR="00443EDA" w:rsidRDefault="00443EDA" w:rsidP="00C2511F">
      <w:pPr>
        <w:pStyle w:val="FootnoteText"/>
        <w:spacing w:after="0"/>
      </w:pPr>
      <w:r w:rsidRPr="00284346">
        <w:rPr>
          <w:rStyle w:val="FootnoteReference"/>
        </w:rPr>
        <w:footnoteRef/>
      </w:r>
      <w:r w:rsidRPr="00284346">
        <w:t xml:space="preserve"> </w:t>
      </w:r>
      <w:r w:rsidRPr="00284346">
        <w:rPr>
          <w:rFonts w:ascii="Times New Roman" w:hAnsi="Times New Roman"/>
        </w:rPr>
        <w:t>In a 1922, speech, however, the prime minister, James Craig, argued that ‘drastic action’ should be employed against republican organisations ‘</w:t>
      </w:r>
      <w:r w:rsidRPr="00284346">
        <w:rPr>
          <w:rFonts w:ascii="Times New Roman" w:hAnsi="Times New Roman"/>
          <w:color w:val="000000"/>
        </w:rPr>
        <w:t xml:space="preserve">as they had shown that they were ready to resort to every form of outrage, and had openly challenged the authority of the Government…. I might almost put it higher and say against the overthrow of this very Parliament’. </w:t>
      </w:r>
      <w:r w:rsidRPr="00284346">
        <w:rPr>
          <w:rFonts w:ascii="Times New Roman" w:hAnsi="Times New Roman"/>
          <w:i/>
        </w:rPr>
        <w:t>Official Report</w:t>
      </w:r>
      <w:r w:rsidRPr="00284346">
        <w:rPr>
          <w:rFonts w:ascii="Times New Roman" w:hAnsi="Times New Roman"/>
        </w:rPr>
        <w:t xml:space="preserve">, </w:t>
      </w:r>
      <w:proofErr w:type="spellStart"/>
      <w:r w:rsidRPr="00284346">
        <w:rPr>
          <w:rFonts w:ascii="Times New Roman" w:hAnsi="Times New Roman"/>
        </w:rPr>
        <w:t>vol</w:t>
      </w:r>
      <w:proofErr w:type="spellEnd"/>
      <w:r w:rsidRPr="00284346">
        <w:rPr>
          <w:rFonts w:ascii="Times New Roman" w:hAnsi="Times New Roman"/>
        </w:rPr>
        <w:t xml:space="preserve"> 2 (1922), c. 598-9, 23 May 1922</w:t>
      </w:r>
    </w:p>
  </w:footnote>
  <w:footnote w:id="56">
    <w:p w:rsidR="00443EDA" w:rsidRDefault="00443EDA" w:rsidP="00C2511F">
      <w:pPr>
        <w:pStyle w:val="FootnoteText"/>
        <w:spacing w:after="0"/>
      </w:pPr>
      <w:r w:rsidRPr="00847DBA">
        <w:rPr>
          <w:rStyle w:val="FootnoteReference"/>
        </w:rPr>
        <w:footnoteRef/>
      </w:r>
      <w:r w:rsidRPr="00F96851">
        <w:rPr>
          <w:rFonts w:ascii="Times New Roman" w:hAnsi="Times New Roman"/>
        </w:rPr>
        <w:t xml:space="preserve"> </w:t>
      </w:r>
      <w:proofErr w:type="spellStart"/>
      <w:r w:rsidRPr="00F96851">
        <w:rPr>
          <w:i/>
        </w:rPr>
        <w:t>Diario</w:t>
      </w:r>
      <w:proofErr w:type="spellEnd"/>
      <w:r w:rsidRPr="00F96851">
        <w:rPr>
          <w:i/>
        </w:rPr>
        <w:t xml:space="preserve"> de </w:t>
      </w:r>
      <w:proofErr w:type="spellStart"/>
      <w:r w:rsidRPr="00F96851">
        <w:rPr>
          <w:i/>
        </w:rPr>
        <w:t>Sesiones</w:t>
      </w:r>
      <w:proofErr w:type="spellEnd"/>
      <w:r w:rsidRPr="00F96851">
        <w:rPr>
          <w:i/>
        </w:rPr>
        <w:t xml:space="preserve"> del </w:t>
      </w:r>
      <w:proofErr w:type="spellStart"/>
      <w:r w:rsidRPr="00F96851">
        <w:rPr>
          <w:i/>
        </w:rPr>
        <w:t>Congreso</w:t>
      </w:r>
      <w:proofErr w:type="spellEnd"/>
      <w:r w:rsidRPr="00F96851">
        <w:rPr>
          <w:i/>
        </w:rPr>
        <w:t xml:space="preserve"> de los </w:t>
      </w:r>
      <w:proofErr w:type="spellStart"/>
      <w:r w:rsidRPr="00F96851">
        <w:rPr>
          <w:i/>
        </w:rPr>
        <w:t>Diputados</w:t>
      </w:r>
      <w:proofErr w:type="spellEnd"/>
      <w:r w:rsidRPr="00F96851">
        <w:t xml:space="preserve">, </w:t>
      </w:r>
      <w:proofErr w:type="spellStart"/>
      <w:r w:rsidRPr="00F96851">
        <w:t>núm</w:t>
      </w:r>
      <w:proofErr w:type="spellEnd"/>
      <w:r w:rsidRPr="00F96851">
        <w:t xml:space="preserve"> 164, 23 May 2002</w:t>
      </w:r>
      <w:proofErr w:type="gramStart"/>
      <w:r w:rsidRPr="00F96851">
        <w:t>,  p</w:t>
      </w:r>
      <w:proofErr w:type="gramEnd"/>
      <w:r w:rsidRPr="00F96851">
        <w:t>. 8300; a</w:t>
      </w:r>
      <w:r>
        <w:rPr>
          <w:rFonts w:ascii="Times New Roman" w:hAnsi="Times New Roman"/>
        </w:rPr>
        <w:t xml:space="preserve"> similar thesis was developed i</w:t>
      </w:r>
      <w:r w:rsidRPr="00847DBA">
        <w:rPr>
          <w:rFonts w:ascii="Times New Roman" w:hAnsi="Times New Roman"/>
          <w:bCs/>
        </w:rPr>
        <w:t xml:space="preserve">n the </w:t>
      </w:r>
      <w:proofErr w:type="spellStart"/>
      <w:r w:rsidRPr="00847DBA">
        <w:rPr>
          <w:rFonts w:ascii="Times New Roman" w:hAnsi="Times New Roman"/>
          <w:i/>
          <w:lang w:val="en-US"/>
        </w:rPr>
        <w:t>Audiencia</w:t>
      </w:r>
      <w:proofErr w:type="spellEnd"/>
      <w:r w:rsidRPr="00847DBA">
        <w:rPr>
          <w:rFonts w:ascii="Times New Roman" w:hAnsi="Times New Roman"/>
          <w:i/>
          <w:lang w:val="en-US"/>
        </w:rPr>
        <w:t xml:space="preserve"> </w:t>
      </w:r>
      <w:proofErr w:type="spellStart"/>
      <w:r w:rsidRPr="00847DBA">
        <w:rPr>
          <w:rFonts w:ascii="Times New Roman" w:hAnsi="Times New Roman"/>
          <w:i/>
          <w:lang w:val="en-US"/>
        </w:rPr>
        <w:t>Nacional</w:t>
      </w:r>
      <w:proofErr w:type="spellEnd"/>
      <w:r w:rsidRPr="00847DBA">
        <w:rPr>
          <w:rFonts w:ascii="Times New Roman" w:hAnsi="Times New Roman"/>
          <w:i/>
          <w:lang w:val="en-US"/>
        </w:rPr>
        <w:t xml:space="preserve">, </w:t>
      </w:r>
      <w:r w:rsidRPr="00847DBA">
        <w:rPr>
          <w:rFonts w:ascii="Times New Roman" w:hAnsi="Times New Roman"/>
          <w:lang w:val="en-US"/>
        </w:rPr>
        <w:t xml:space="preserve">a tribunal empowered to try important cases including terrorism, </w:t>
      </w:r>
      <w:r>
        <w:rPr>
          <w:rFonts w:ascii="Times New Roman" w:hAnsi="Times New Roman"/>
          <w:lang w:val="en-US"/>
        </w:rPr>
        <w:t xml:space="preserve">by </w:t>
      </w:r>
      <w:r w:rsidRPr="00847DBA">
        <w:rPr>
          <w:rFonts w:ascii="Times New Roman" w:hAnsi="Times New Roman"/>
          <w:bCs/>
        </w:rPr>
        <w:t xml:space="preserve">Judge </w:t>
      </w:r>
      <w:proofErr w:type="spellStart"/>
      <w:r w:rsidRPr="00847DBA">
        <w:rPr>
          <w:rFonts w:ascii="Times New Roman" w:hAnsi="Times New Roman"/>
          <w:bCs/>
        </w:rPr>
        <w:t>Baltazar</w:t>
      </w:r>
      <w:proofErr w:type="spellEnd"/>
      <w:r w:rsidRPr="00847DBA">
        <w:rPr>
          <w:rFonts w:ascii="Times New Roman" w:hAnsi="Times New Roman"/>
          <w:bCs/>
        </w:rPr>
        <w:t xml:space="preserve"> </w:t>
      </w:r>
      <w:proofErr w:type="spellStart"/>
      <w:r w:rsidRPr="00847DBA">
        <w:rPr>
          <w:rFonts w:ascii="Times New Roman" w:hAnsi="Times New Roman"/>
          <w:bCs/>
        </w:rPr>
        <w:t>Garzón</w:t>
      </w:r>
      <w:proofErr w:type="spellEnd"/>
      <w:r w:rsidRPr="00847DBA">
        <w:rPr>
          <w:rFonts w:ascii="Times New Roman" w:hAnsi="Times New Roman"/>
          <w:bCs/>
        </w:rPr>
        <w:t xml:space="preserve"> </w:t>
      </w:r>
      <w:r>
        <w:rPr>
          <w:rFonts w:ascii="Times New Roman" w:hAnsi="Times New Roman"/>
          <w:bCs/>
        </w:rPr>
        <w:t xml:space="preserve">who </w:t>
      </w:r>
      <w:r w:rsidRPr="00847DBA">
        <w:rPr>
          <w:rFonts w:ascii="Times New Roman" w:hAnsi="Times New Roman"/>
          <w:bCs/>
        </w:rPr>
        <w:t xml:space="preserve">developed </w:t>
      </w:r>
      <w:r w:rsidRPr="00847DBA">
        <w:rPr>
          <w:rFonts w:ascii="Times New Roman" w:hAnsi="Times New Roman"/>
          <w:lang w:val="en-US"/>
        </w:rPr>
        <w:t xml:space="preserve">the idea that ETA was a ‘complex  structure’ integrating both terrorist commandos </w:t>
      </w:r>
      <w:r w:rsidRPr="00847DBA">
        <w:rPr>
          <w:rFonts w:ascii="Times New Roman" w:hAnsi="Times New Roman"/>
          <w:i/>
          <w:lang w:val="en-US"/>
        </w:rPr>
        <w:t>and</w:t>
      </w:r>
      <w:r w:rsidRPr="00847DBA">
        <w:rPr>
          <w:rFonts w:ascii="Times New Roman" w:hAnsi="Times New Roman"/>
          <w:lang w:val="en-US"/>
        </w:rPr>
        <w:t xml:space="preserve"> supporting organizations and networks (</w:t>
      </w:r>
      <w:proofErr w:type="spellStart"/>
      <w:r w:rsidRPr="00847DBA">
        <w:rPr>
          <w:rFonts w:ascii="Times New Roman" w:hAnsi="Times New Roman"/>
          <w:lang w:val="en-US"/>
        </w:rPr>
        <w:t>Tajadura</w:t>
      </w:r>
      <w:proofErr w:type="spellEnd"/>
      <w:r w:rsidRPr="00847DBA">
        <w:rPr>
          <w:rFonts w:ascii="Times New Roman" w:hAnsi="Times New Roman"/>
          <w:lang w:val="en-US"/>
        </w:rPr>
        <w:t xml:space="preserve"> and </w:t>
      </w:r>
      <w:proofErr w:type="spellStart"/>
      <w:r w:rsidRPr="00847DBA">
        <w:rPr>
          <w:rFonts w:ascii="Times New Roman" w:hAnsi="Times New Roman"/>
          <w:lang w:val="en-US"/>
        </w:rPr>
        <w:t>Vírgala</w:t>
      </w:r>
      <w:proofErr w:type="spellEnd"/>
      <w:r w:rsidRPr="00847DBA">
        <w:rPr>
          <w:rFonts w:ascii="Times New Roman" w:hAnsi="Times New Roman"/>
          <w:lang w:val="en-US"/>
        </w:rPr>
        <w:t>, 2008: 53</w:t>
      </w:r>
      <w:r w:rsidRPr="00847DBA">
        <w:rPr>
          <w:rFonts w:ascii="Times New Roman" w:hAnsi="Times New Roman"/>
          <w:bCs/>
        </w:rPr>
        <w:t xml:space="preserve">; Esparza, 2004: 19; </w:t>
      </w:r>
      <w:proofErr w:type="spellStart"/>
      <w:r w:rsidRPr="00847DBA">
        <w:rPr>
          <w:rFonts w:ascii="Times New Roman" w:hAnsi="Times New Roman"/>
          <w:bCs/>
        </w:rPr>
        <w:t>Tajadura</w:t>
      </w:r>
      <w:proofErr w:type="spellEnd"/>
      <w:r w:rsidRPr="00847DBA">
        <w:rPr>
          <w:rFonts w:ascii="Times New Roman" w:hAnsi="Times New Roman"/>
          <w:bCs/>
        </w:rPr>
        <w:t xml:space="preserve"> and </w:t>
      </w:r>
      <w:proofErr w:type="spellStart"/>
      <w:r w:rsidRPr="00847DBA">
        <w:rPr>
          <w:rFonts w:ascii="Times New Roman" w:hAnsi="Times New Roman"/>
          <w:bCs/>
        </w:rPr>
        <w:t>Vírgala</w:t>
      </w:r>
      <w:proofErr w:type="spellEnd"/>
      <w:r w:rsidRPr="00847DBA">
        <w:rPr>
          <w:rFonts w:ascii="Times New Roman" w:hAnsi="Times New Roman"/>
          <w:bCs/>
        </w:rPr>
        <w:t>, 2004: 53-5).</w:t>
      </w:r>
    </w:p>
  </w:footnote>
  <w:footnote w:id="57">
    <w:p w:rsidR="00443EDA" w:rsidRPr="00622E12" w:rsidRDefault="00443EDA" w:rsidP="00C2511F">
      <w:pPr>
        <w:pStyle w:val="FootnoteText"/>
        <w:spacing w:after="0"/>
        <w:rPr>
          <w:lang w:val="es-ES"/>
        </w:rPr>
      </w:pPr>
      <w:r>
        <w:rPr>
          <w:rStyle w:val="FootnoteReference"/>
        </w:rPr>
        <w:footnoteRef/>
      </w:r>
      <w:r w:rsidRPr="00F96851">
        <w:rPr>
          <w:lang w:val="es-ES"/>
        </w:rPr>
        <w:t xml:space="preserve"> </w:t>
      </w:r>
      <w:r w:rsidRPr="00F96851">
        <w:rPr>
          <w:i/>
          <w:lang w:val="es-ES"/>
        </w:rPr>
        <w:t>Diario de Sesiones del Congreso de los Diputados</w:t>
      </w:r>
      <w:r>
        <w:rPr>
          <w:lang w:val="es-ES"/>
        </w:rPr>
        <w:t xml:space="preserve">, </w:t>
      </w:r>
      <w:proofErr w:type="spellStart"/>
      <w:r>
        <w:rPr>
          <w:lang w:val="es-ES"/>
        </w:rPr>
        <w:t>núm</w:t>
      </w:r>
      <w:proofErr w:type="spellEnd"/>
      <w:r>
        <w:rPr>
          <w:lang w:val="es-ES"/>
        </w:rPr>
        <w:t xml:space="preserve"> 164, 23 </w:t>
      </w:r>
      <w:proofErr w:type="spellStart"/>
      <w:r>
        <w:rPr>
          <w:lang w:val="es-ES"/>
        </w:rPr>
        <w:t>May</w:t>
      </w:r>
      <w:proofErr w:type="spellEnd"/>
      <w:r>
        <w:rPr>
          <w:lang w:val="es-ES"/>
        </w:rPr>
        <w:t xml:space="preserve"> 2002,  p. 8302.</w:t>
      </w:r>
    </w:p>
  </w:footnote>
  <w:footnote w:id="58">
    <w:p w:rsidR="00443EDA" w:rsidRPr="00622E12" w:rsidRDefault="00443EDA" w:rsidP="00C2511F">
      <w:pPr>
        <w:pStyle w:val="FootnoteText"/>
        <w:spacing w:after="0"/>
        <w:rPr>
          <w:lang w:val="es-ES"/>
        </w:rPr>
      </w:pPr>
      <w:r>
        <w:rPr>
          <w:rStyle w:val="FootnoteReference"/>
        </w:rPr>
        <w:footnoteRef/>
      </w:r>
      <w:r w:rsidRPr="00F96851">
        <w:rPr>
          <w:lang w:val="es-ES"/>
        </w:rPr>
        <w:t xml:space="preserve"> </w:t>
      </w:r>
      <w:r w:rsidRPr="00F96851">
        <w:rPr>
          <w:i/>
          <w:lang w:val="es-ES"/>
        </w:rPr>
        <w:t>Diario de Sesiones del Congreso de los Diputados</w:t>
      </w:r>
      <w:r>
        <w:rPr>
          <w:lang w:val="es-ES"/>
        </w:rPr>
        <w:t xml:space="preserve">, </w:t>
      </w:r>
      <w:proofErr w:type="spellStart"/>
      <w:r>
        <w:rPr>
          <w:lang w:val="es-ES"/>
        </w:rPr>
        <w:t>núm</w:t>
      </w:r>
      <w:proofErr w:type="spellEnd"/>
      <w:r>
        <w:rPr>
          <w:lang w:val="es-ES"/>
        </w:rPr>
        <w:t xml:space="preserve"> 164, 23 </w:t>
      </w:r>
      <w:proofErr w:type="spellStart"/>
      <w:r>
        <w:rPr>
          <w:lang w:val="es-ES"/>
        </w:rPr>
        <w:t>May</w:t>
      </w:r>
      <w:proofErr w:type="spellEnd"/>
      <w:r>
        <w:rPr>
          <w:lang w:val="es-ES"/>
        </w:rPr>
        <w:t xml:space="preserve"> 2002,  p. 8300. </w:t>
      </w:r>
    </w:p>
  </w:footnote>
  <w:footnote w:id="59">
    <w:p w:rsidR="00443EDA" w:rsidRPr="00622E12" w:rsidRDefault="00443EDA" w:rsidP="00C2511F">
      <w:pPr>
        <w:pStyle w:val="FootnoteText"/>
        <w:spacing w:after="0"/>
        <w:rPr>
          <w:lang w:val="es-ES"/>
        </w:rPr>
      </w:pPr>
      <w:r>
        <w:rPr>
          <w:rStyle w:val="FootnoteReference"/>
        </w:rPr>
        <w:footnoteRef/>
      </w:r>
      <w:r w:rsidRPr="00F96851">
        <w:rPr>
          <w:lang w:val="es-ES"/>
        </w:rPr>
        <w:t xml:space="preserve"> </w:t>
      </w:r>
      <w:r w:rsidRPr="009009B1">
        <w:rPr>
          <w:rFonts w:ascii="Times New Roman" w:hAnsi="Times New Roman"/>
          <w:i/>
          <w:lang w:val="es-ES"/>
        </w:rPr>
        <w:t>Diario de Sesiones del Congreso de los Diputados</w:t>
      </w:r>
      <w:r w:rsidRPr="009009B1">
        <w:rPr>
          <w:rFonts w:ascii="Times New Roman" w:hAnsi="Times New Roman"/>
          <w:lang w:val="es-ES"/>
        </w:rPr>
        <w:t xml:space="preserve">, </w:t>
      </w:r>
      <w:proofErr w:type="spellStart"/>
      <w:r w:rsidRPr="009009B1">
        <w:rPr>
          <w:rFonts w:ascii="Times New Roman" w:hAnsi="Times New Roman"/>
          <w:lang w:val="es-ES"/>
        </w:rPr>
        <w:t>núm</w:t>
      </w:r>
      <w:proofErr w:type="spellEnd"/>
      <w:r w:rsidRPr="009009B1">
        <w:rPr>
          <w:rFonts w:ascii="Times New Roman" w:hAnsi="Times New Roman"/>
          <w:lang w:val="es-ES"/>
        </w:rPr>
        <w:t xml:space="preserve"> 164, 23 </w:t>
      </w:r>
      <w:proofErr w:type="spellStart"/>
      <w:r w:rsidRPr="009009B1">
        <w:rPr>
          <w:rFonts w:ascii="Times New Roman" w:hAnsi="Times New Roman"/>
          <w:lang w:val="es-ES"/>
        </w:rPr>
        <w:t>May</w:t>
      </w:r>
      <w:proofErr w:type="spellEnd"/>
      <w:r w:rsidRPr="009009B1">
        <w:rPr>
          <w:rFonts w:ascii="Times New Roman" w:hAnsi="Times New Roman"/>
          <w:lang w:val="es-ES"/>
        </w:rPr>
        <w:t xml:space="preserve"> 2002,  p. 8300.</w:t>
      </w:r>
    </w:p>
  </w:footnote>
  <w:footnote w:id="60">
    <w:p w:rsidR="00443EDA" w:rsidRPr="00622E12" w:rsidRDefault="00443EDA" w:rsidP="00C2511F">
      <w:pPr>
        <w:pStyle w:val="FootnoteText"/>
        <w:spacing w:after="0"/>
        <w:rPr>
          <w:lang w:val="es-ES"/>
        </w:rPr>
      </w:pPr>
      <w:r w:rsidRPr="009009B1">
        <w:rPr>
          <w:rStyle w:val="FootnoteReference"/>
        </w:rPr>
        <w:footnoteRef/>
      </w:r>
      <w:r w:rsidRPr="009009B1">
        <w:rPr>
          <w:rFonts w:ascii="Times New Roman" w:hAnsi="Times New Roman"/>
          <w:lang w:val="es-ES"/>
        </w:rPr>
        <w:t xml:space="preserve"> </w:t>
      </w:r>
      <w:r w:rsidRPr="009009B1">
        <w:rPr>
          <w:rFonts w:ascii="Times New Roman" w:hAnsi="Times New Roman"/>
          <w:i/>
          <w:lang w:val="es-ES"/>
        </w:rPr>
        <w:t>Diario de Sesiones del Congreso de los Diputados</w:t>
      </w:r>
      <w:r w:rsidRPr="009009B1">
        <w:rPr>
          <w:rFonts w:ascii="Times New Roman" w:hAnsi="Times New Roman"/>
          <w:lang w:val="es-ES"/>
        </w:rPr>
        <w:t xml:space="preserve">, </w:t>
      </w:r>
      <w:proofErr w:type="spellStart"/>
      <w:r w:rsidRPr="009009B1">
        <w:rPr>
          <w:rFonts w:ascii="Times New Roman" w:hAnsi="Times New Roman"/>
          <w:lang w:val="es-ES"/>
        </w:rPr>
        <w:t>núm</w:t>
      </w:r>
      <w:proofErr w:type="spellEnd"/>
      <w:r w:rsidRPr="009009B1">
        <w:rPr>
          <w:rFonts w:ascii="Times New Roman" w:hAnsi="Times New Roman"/>
          <w:lang w:val="es-ES"/>
        </w:rPr>
        <w:t xml:space="preserve"> 164, 23 </w:t>
      </w:r>
      <w:proofErr w:type="spellStart"/>
      <w:r w:rsidRPr="009009B1">
        <w:rPr>
          <w:rFonts w:ascii="Times New Roman" w:hAnsi="Times New Roman"/>
          <w:lang w:val="es-ES"/>
        </w:rPr>
        <w:t>May</w:t>
      </w:r>
      <w:proofErr w:type="spellEnd"/>
      <w:r w:rsidRPr="009009B1">
        <w:rPr>
          <w:rFonts w:ascii="Times New Roman" w:hAnsi="Times New Roman"/>
          <w:lang w:val="es-ES"/>
        </w:rPr>
        <w:t xml:space="preserve"> 2002,  p. 8300.</w:t>
      </w:r>
    </w:p>
  </w:footnote>
  <w:footnote w:id="61">
    <w:p w:rsidR="00443EDA" w:rsidRPr="00622E12" w:rsidRDefault="00443EDA" w:rsidP="00C2511F">
      <w:pPr>
        <w:pStyle w:val="FootnoteText"/>
        <w:spacing w:after="0"/>
        <w:rPr>
          <w:lang w:val="es-ES"/>
        </w:rPr>
      </w:pPr>
      <w:r w:rsidRPr="009009B1">
        <w:rPr>
          <w:rStyle w:val="FootnoteReference"/>
        </w:rPr>
        <w:footnoteRef/>
      </w:r>
      <w:r w:rsidRPr="009009B1">
        <w:rPr>
          <w:rFonts w:ascii="Times New Roman" w:hAnsi="Times New Roman"/>
          <w:lang w:val="es-ES"/>
        </w:rPr>
        <w:t xml:space="preserve"> </w:t>
      </w:r>
      <w:r w:rsidRPr="009009B1">
        <w:rPr>
          <w:rFonts w:ascii="Times New Roman" w:hAnsi="Times New Roman"/>
          <w:i/>
          <w:lang w:val="es-ES"/>
        </w:rPr>
        <w:t>Diario de Sesiones del Congreso de los Diputados</w:t>
      </w:r>
      <w:r w:rsidRPr="009009B1">
        <w:rPr>
          <w:rFonts w:ascii="Times New Roman" w:hAnsi="Times New Roman"/>
          <w:lang w:val="es-ES"/>
        </w:rPr>
        <w:t xml:space="preserve">, </w:t>
      </w:r>
      <w:proofErr w:type="spellStart"/>
      <w:r w:rsidRPr="009009B1">
        <w:rPr>
          <w:rFonts w:ascii="Times New Roman" w:hAnsi="Times New Roman"/>
          <w:lang w:val="es-ES"/>
        </w:rPr>
        <w:t>núm</w:t>
      </w:r>
      <w:proofErr w:type="spellEnd"/>
      <w:r w:rsidRPr="009009B1">
        <w:rPr>
          <w:rFonts w:ascii="Times New Roman" w:hAnsi="Times New Roman"/>
          <w:lang w:val="es-ES"/>
        </w:rPr>
        <w:t xml:space="preserve"> 164, 23 </w:t>
      </w:r>
      <w:proofErr w:type="spellStart"/>
      <w:r w:rsidRPr="009009B1">
        <w:rPr>
          <w:rFonts w:ascii="Times New Roman" w:hAnsi="Times New Roman"/>
          <w:lang w:val="es-ES"/>
        </w:rPr>
        <w:t>May</w:t>
      </w:r>
      <w:proofErr w:type="spellEnd"/>
      <w:r w:rsidRPr="009009B1">
        <w:rPr>
          <w:rFonts w:ascii="Times New Roman" w:hAnsi="Times New Roman"/>
          <w:lang w:val="es-ES"/>
        </w:rPr>
        <w:t xml:space="preserve"> 2002,  p. 8300.</w:t>
      </w:r>
    </w:p>
  </w:footnote>
  <w:footnote w:id="62">
    <w:p w:rsidR="00443EDA" w:rsidRPr="00622E12" w:rsidRDefault="00443EDA" w:rsidP="00C2511F">
      <w:pPr>
        <w:pStyle w:val="FootnoteText"/>
        <w:spacing w:after="0"/>
        <w:rPr>
          <w:lang w:val="es-ES"/>
        </w:rPr>
      </w:pPr>
      <w:r w:rsidRPr="009009B1">
        <w:rPr>
          <w:rStyle w:val="FootnoteReference"/>
        </w:rPr>
        <w:footnoteRef/>
      </w:r>
      <w:r w:rsidRPr="009009B1">
        <w:rPr>
          <w:rFonts w:ascii="Times New Roman" w:hAnsi="Times New Roman"/>
          <w:lang w:val="es-ES"/>
        </w:rPr>
        <w:t xml:space="preserve"> </w:t>
      </w:r>
      <w:r w:rsidRPr="009009B1">
        <w:rPr>
          <w:rFonts w:ascii="Times New Roman" w:hAnsi="Times New Roman"/>
          <w:i/>
          <w:lang w:val="es-ES"/>
        </w:rPr>
        <w:t>Diario de Sesiones del Congreso de los Diputados</w:t>
      </w:r>
      <w:r w:rsidRPr="009009B1">
        <w:rPr>
          <w:rFonts w:ascii="Times New Roman" w:hAnsi="Times New Roman"/>
          <w:lang w:val="es-ES"/>
        </w:rPr>
        <w:t xml:space="preserve">, </w:t>
      </w:r>
      <w:proofErr w:type="spellStart"/>
      <w:r w:rsidRPr="009009B1">
        <w:rPr>
          <w:rFonts w:ascii="Times New Roman" w:hAnsi="Times New Roman"/>
          <w:lang w:val="es-ES"/>
        </w:rPr>
        <w:t>núm</w:t>
      </w:r>
      <w:proofErr w:type="spellEnd"/>
      <w:r w:rsidRPr="009009B1">
        <w:rPr>
          <w:rFonts w:ascii="Times New Roman" w:hAnsi="Times New Roman"/>
          <w:lang w:val="es-ES"/>
        </w:rPr>
        <w:t xml:space="preserve"> 164, 23 </w:t>
      </w:r>
      <w:proofErr w:type="spellStart"/>
      <w:r w:rsidRPr="009009B1">
        <w:rPr>
          <w:rFonts w:ascii="Times New Roman" w:hAnsi="Times New Roman"/>
          <w:lang w:val="es-ES"/>
        </w:rPr>
        <w:t>May</w:t>
      </w:r>
      <w:proofErr w:type="spellEnd"/>
      <w:r w:rsidRPr="009009B1">
        <w:rPr>
          <w:rFonts w:ascii="Times New Roman" w:hAnsi="Times New Roman"/>
          <w:lang w:val="es-ES"/>
        </w:rPr>
        <w:t xml:space="preserve"> 2002,  p. 8300.</w:t>
      </w:r>
    </w:p>
  </w:footnote>
  <w:footnote w:id="63">
    <w:p w:rsidR="00443EDA" w:rsidRPr="00622E12" w:rsidRDefault="00443EDA" w:rsidP="00C2511F">
      <w:pPr>
        <w:pStyle w:val="FootnoteText"/>
        <w:spacing w:after="0"/>
        <w:rPr>
          <w:lang w:val="es-ES"/>
        </w:rPr>
      </w:pPr>
      <w:r w:rsidRPr="009009B1">
        <w:rPr>
          <w:rStyle w:val="FootnoteReference"/>
        </w:rPr>
        <w:footnoteRef/>
      </w:r>
      <w:r w:rsidRPr="009009B1">
        <w:rPr>
          <w:rFonts w:ascii="Times New Roman" w:hAnsi="Times New Roman"/>
          <w:lang w:val="es-ES"/>
        </w:rPr>
        <w:t xml:space="preserve"> </w:t>
      </w:r>
      <w:r w:rsidRPr="009009B1">
        <w:rPr>
          <w:rFonts w:ascii="Times New Roman" w:hAnsi="Times New Roman"/>
          <w:i/>
          <w:lang w:val="es-ES"/>
        </w:rPr>
        <w:t>Diario de Sesiones del Congreso de los Diputados</w:t>
      </w:r>
      <w:r w:rsidRPr="009009B1">
        <w:rPr>
          <w:rFonts w:ascii="Times New Roman" w:hAnsi="Times New Roman"/>
          <w:lang w:val="es-ES"/>
        </w:rPr>
        <w:t xml:space="preserve">, </w:t>
      </w:r>
      <w:proofErr w:type="spellStart"/>
      <w:r w:rsidRPr="009009B1">
        <w:rPr>
          <w:rFonts w:ascii="Times New Roman" w:hAnsi="Times New Roman"/>
          <w:lang w:val="es-ES"/>
        </w:rPr>
        <w:t>núm</w:t>
      </w:r>
      <w:proofErr w:type="spellEnd"/>
      <w:r w:rsidRPr="009009B1">
        <w:rPr>
          <w:rFonts w:ascii="Times New Roman" w:hAnsi="Times New Roman"/>
          <w:lang w:val="es-ES"/>
        </w:rPr>
        <w:t xml:space="preserve"> 164, 23 </w:t>
      </w:r>
      <w:proofErr w:type="spellStart"/>
      <w:r w:rsidRPr="009009B1">
        <w:rPr>
          <w:rFonts w:ascii="Times New Roman" w:hAnsi="Times New Roman"/>
          <w:lang w:val="es-ES"/>
        </w:rPr>
        <w:t>May</w:t>
      </w:r>
      <w:proofErr w:type="spellEnd"/>
      <w:r w:rsidRPr="009009B1">
        <w:rPr>
          <w:rFonts w:ascii="Times New Roman" w:hAnsi="Times New Roman"/>
          <w:lang w:val="es-ES"/>
        </w:rPr>
        <w:t xml:space="preserve"> 2002,  p. 8299.</w:t>
      </w:r>
    </w:p>
  </w:footnote>
  <w:footnote w:id="64">
    <w:p w:rsidR="00443EDA" w:rsidRPr="00622E12" w:rsidRDefault="00443EDA" w:rsidP="00C2511F">
      <w:pPr>
        <w:pStyle w:val="FootnoteText"/>
        <w:spacing w:after="0"/>
        <w:rPr>
          <w:lang w:val="es-ES"/>
        </w:rPr>
      </w:pPr>
      <w:r w:rsidRPr="009009B1">
        <w:rPr>
          <w:rStyle w:val="FootnoteReference"/>
        </w:rPr>
        <w:footnoteRef/>
      </w:r>
      <w:r w:rsidRPr="009009B1">
        <w:rPr>
          <w:rFonts w:ascii="Times New Roman" w:hAnsi="Times New Roman"/>
          <w:lang w:val="es-ES"/>
        </w:rPr>
        <w:t xml:space="preserve"> </w:t>
      </w:r>
      <w:r w:rsidRPr="009009B1">
        <w:rPr>
          <w:rFonts w:ascii="Times New Roman" w:hAnsi="Times New Roman"/>
          <w:i/>
          <w:lang w:val="es-ES"/>
        </w:rPr>
        <w:t>Diario de Sesiones del Congreso de los Diputados</w:t>
      </w:r>
      <w:r w:rsidRPr="009009B1">
        <w:rPr>
          <w:rFonts w:ascii="Times New Roman" w:hAnsi="Times New Roman"/>
          <w:lang w:val="es-ES"/>
        </w:rPr>
        <w:t xml:space="preserve">, </w:t>
      </w:r>
      <w:proofErr w:type="spellStart"/>
      <w:r w:rsidRPr="009009B1">
        <w:rPr>
          <w:rFonts w:ascii="Times New Roman" w:hAnsi="Times New Roman"/>
          <w:lang w:val="es-ES"/>
        </w:rPr>
        <w:t>núm</w:t>
      </w:r>
      <w:proofErr w:type="spellEnd"/>
      <w:r w:rsidRPr="009009B1">
        <w:rPr>
          <w:lang w:val="es-ES"/>
        </w:rPr>
        <w:t xml:space="preserve"> 164, 23 </w:t>
      </w:r>
      <w:proofErr w:type="spellStart"/>
      <w:r w:rsidRPr="009009B1">
        <w:rPr>
          <w:lang w:val="es-ES"/>
        </w:rPr>
        <w:t>May</w:t>
      </w:r>
      <w:proofErr w:type="spellEnd"/>
      <w:r w:rsidRPr="009009B1">
        <w:rPr>
          <w:lang w:val="es-ES"/>
        </w:rPr>
        <w:t xml:space="preserve"> 2002,  p. 8322.</w:t>
      </w:r>
    </w:p>
  </w:footnote>
  <w:footnote w:id="65">
    <w:p w:rsidR="00443EDA" w:rsidRPr="00622E12" w:rsidRDefault="00443EDA" w:rsidP="00C2511F">
      <w:pPr>
        <w:pStyle w:val="FootnoteText"/>
        <w:spacing w:after="0"/>
        <w:rPr>
          <w:lang w:val="es-ES"/>
        </w:rPr>
      </w:pPr>
      <w:r>
        <w:rPr>
          <w:rStyle w:val="FootnoteReference"/>
        </w:rPr>
        <w:footnoteRef/>
      </w:r>
      <w:r w:rsidRPr="00D11B40">
        <w:rPr>
          <w:lang w:val="es-ES"/>
        </w:rPr>
        <w:t xml:space="preserve"> </w:t>
      </w:r>
      <w:r w:rsidRPr="00F96851">
        <w:rPr>
          <w:i/>
          <w:lang w:val="es-ES"/>
        </w:rPr>
        <w:t>Diario de Sesiones del Congreso de los Diputados</w:t>
      </w:r>
      <w:r>
        <w:rPr>
          <w:lang w:val="es-ES"/>
        </w:rPr>
        <w:t xml:space="preserve">, </w:t>
      </w:r>
      <w:proofErr w:type="spellStart"/>
      <w:r>
        <w:rPr>
          <w:lang w:val="es-ES"/>
        </w:rPr>
        <w:t>núm</w:t>
      </w:r>
      <w:proofErr w:type="spellEnd"/>
      <w:r>
        <w:rPr>
          <w:lang w:val="es-ES"/>
        </w:rPr>
        <w:t xml:space="preserve"> 164, 23 </w:t>
      </w:r>
      <w:proofErr w:type="spellStart"/>
      <w:r>
        <w:rPr>
          <w:lang w:val="es-ES"/>
        </w:rPr>
        <w:t>May</w:t>
      </w:r>
      <w:proofErr w:type="spellEnd"/>
      <w:r>
        <w:rPr>
          <w:lang w:val="es-ES"/>
        </w:rPr>
        <w:t xml:space="preserve"> 2002,  p. 8325.</w:t>
      </w:r>
    </w:p>
  </w:footnote>
  <w:footnote w:id="66">
    <w:p w:rsidR="00443EDA" w:rsidRPr="00622E12" w:rsidRDefault="00443EDA" w:rsidP="00C2511F">
      <w:pPr>
        <w:pStyle w:val="FootnoteText"/>
        <w:spacing w:after="0"/>
        <w:rPr>
          <w:lang w:val="es-ES"/>
        </w:rPr>
      </w:pPr>
      <w:r>
        <w:rPr>
          <w:rStyle w:val="FootnoteReference"/>
        </w:rPr>
        <w:footnoteRef/>
      </w:r>
      <w:r w:rsidRPr="00D11B40">
        <w:rPr>
          <w:lang w:val="es-ES"/>
        </w:rPr>
        <w:t xml:space="preserve"> </w:t>
      </w:r>
      <w:r w:rsidRPr="00F96851">
        <w:rPr>
          <w:i/>
          <w:lang w:val="es-ES"/>
        </w:rPr>
        <w:t>Diario de Sesiones del Congreso de los Diputados</w:t>
      </w:r>
      <w:r>
        <w:rPr>
          <w:lang w:val="es-ES"/>
        </w:rPr>
        <w:t xml:space="preserve">, </w:t>
      </w:r>
      <w:proofErr w:type="spellStart"/>
      <w:r>
        <w:rPr>
          <w:lang w:val="es-ES"/>
        </w:rPr>
        <w:t>núm</w:t>
      </w:r>
      <w:proofErr w:type="spellEnd"/>
      <w:r>
        <w:rPr>
          <w:lang w:val="es-ES"/>
        </w:rPr>
        <w:t xml:space="preserve"> 164, 23 </w:t>
      </w:r>
      <w:proofErr w:type="spellStart"/>
      <w:r>
        <w:rPr>
          <w:lang w:val="es-ES"/>
        </w:rPr>
        <w:t>May</w:t>
      </w:r>
      <w:proofErr w:type="spellEnd"/>
      <w:r>
        <w:rPr>
          <w:lang w:val="es-ES"/>
        </w:rPr>
        <w:t xml:space="preserve"> 2002,  p. 8325.</w:t>
      </w:r>
    </w:p>
  </w:footnote>
  <w:footnote w:id="67">
    <w:p w:rsidR="00443EDA" w:rsidRDefault="00443EDA" w:rsidP="00AD6DC0">
      <w:pPr>
        <w:pStyle w:val="FootnoteText"/>
        <w:spacing w:after="0" w:line="240" w:lineRule="auto"/>
      </w:pPr>
      <w:r w:rsidRPr="00847DBA">
        <w:rPr>
          <w:rStyle w:val="FootnoteReference"/>
        </w:rPr>
        <w:footnoteRef/>
      </w:r>
      <w:r w:rsidRPr="00847DBA">
        <w:rPr>
          <w:rFonts w:ascii="Times New Roman" w:hAnsi="Times New Roman"/>
        </w:rPr>
        <w:t xml:space="preserve"> </w:t>
      </w:r>
      <w:proofErr w:type="gramStart"/>
      <w:r w:rsidRPr="00847DBA">
        <w:rPr>
          <w:rFonts w:ascii="Times New Roman" w:hAnsi="Times New Roman"/>
          <w:i/>
        </w:rPr>
        <w:t xml:space="preserve">Northern Ireland Constitutional Proposals, </w:t>
      </w:r>
      <w:r w:rsidRPr="00847DBA">
        <w:rPr>
          <w:rFonts w:ascii="Times New Roman" w:hAnsi="Times New Roman"/>
        </w:rPr>
        <w:t xml:space="preserve">1973, </w:t>
      </w:r>
      <w:proofErr w:type="spellStart"/>
      <w:r w:rsidRPr="00847DBA">
        <w:rPr>
          <w:rFonts w:ascii="Times New Roman" w:hAnsi="Times New Roman"/>
        </w:rPr>
        <w:t>Cmnd</w:t>
      </w:r>
      <w:proofErr w:type="spellEnd"/>
      <w:r w:rsidRPr="00847DBA">
        <w:rPr>
          <w:rFonts w:ascii="Times New Roman" w:hAnsi="Times New Roman"/>
        </w:rPr>
        <w:t xml:space="preserve"> 5259.</w:t>
      </w:r>
      <w:proofErr w:type="gramEnd"/>
      <w:r w:rsidRPr="00847DBA">
        <w:rPr>
          <w:rFonts w:ascii="Times New Roman" w:hAnsi="Times New Roman"/>
        </w:rPr>
        <w:t xml:space="preserve"> </w:t>
      </w:r>
    </w:p>
  </w:footnote>
  <w:footnote w:id="68">
    <w:p w:rsidR="00443EDA" w:rsidRDefault="00443EDA" w:rsidP="00AD6DC0">
      <w:pPr>
        <w:pStyle w:val="FootnoteText"/>
        <w:spacing w:after="0" w:line="240" w:lineRule="auto"/>
      </w:pPr>
      <w:r w:rsidRPr="00847DBA">
        <w:rPr>
          <w:rStyle w:val="FootnoteReference"/>
        </w:rPr>
        <w:footnoteRef/>
      </w:r>
      <w:r w:rsidRPr="00847DBA">
        <w:rPr>
          <w:rFonts w:ascii="Times New Roman" w:hAnsi="Times New Roman"/>
        </w:rPr>
        <w:t xml:space="preserve"> </w:t>
      </w:r>
      <w:proofErr w:type="gramStart"/>
      <w:r w:rsidRPr="00847DBA">
        <w:rPr>
          <w:rFonts w:ascii="Times New Roman" w:hAnsi="Times New Roman"/>
          <w:i/>
        </w:rPr>
        <w:t xml:space="preserve">Northern Ireland Constitutional Proposals, </w:t>
      </w:r>
      <w:r w:rsidRPr="00847DBA">
        <w:rPr>
          <w:rFonts w:ascii="Times New Roman" w:hAnsi="Times New Roman"/>
        </w:rPr>
        <w:t xml:space="preserve">1973, </w:t>
      </w:r>
      <w:proofErr w:type="spellStart"/>
      <w:r w:rsidRPr="00847DBA">
        <w:rPr>
          <w:rFonts w:ascii="Times New Roman" w:hAnsi="Times New Roman"/>
        </w:rPr>
        <w:t>Cmnd</w:t>
      </w:r>
      <w:proofErr w:type="spellEnd"/>
      <w:r w:rsidRPr="00847DBA">
        <w:rPr>
          <w:rFonts w:ascii="Times New Roman" w:hAnsi="Times New Roman"/>
        </w:rPr>
        <w:t xml:space="preserve"> 5259.</w:t>
      </w:r>
      <w:proofErr w:type="gramEnd"/>
      <w:r w:rsidRPr="00847DBA">
        <w:rPr>
          <w:rFonts w:ascii="Times New Roman" w:hAnsi="Times New Roman"/>
        </w:rPr>
        <w:t xml:space="preserve"> </w:t>
      </w:r>
      <w:proofErr w:type="gramStart"/>
      <w:r w:rsidRPr="00847DBA">
        <w:rPr>
          <w:rFonts w:ascii="Times New Roman" w:hAnsi="Times New Roman"/>
        </w:rPr>
        <w:t>Para.</w:t>
      </w:r>
      <w:proofErr w:type="gramEnd"/>
      <w:r w:rsidRPr="00847DBA">
        <w:rPr>
          <w:rFonts w:ascii="Times New Roman" w:hAnsi="Times New Roman"/>
        </w:rPr>
        <w:t xml:space="preserve"> 94</w:t>
      </w:r>
    </w:p>
  </w:footnote>
  <w:footnote w:id="69">
    <w:p w:rsidR="00443EDA" w:rsidRDefault="00443EDA" w:rsidP="00AD6DC0">
      <w:pPr>
        <w:pStyle w:val="FootnoteText"/>
        <w:spacing w:after="0" w:line="240" w:lineRule="auto"/>
      </w:pPr>
      <w:r w:rsidRPr="00847DBA">
        <w:rPr>
          <w:rStyle w:val="FootnoteReference"/>
        </w:rPr>
        <w:footnoteRef/>
      </w:r>
      <w:r w:rsidRPr="00847DBA">
        <w:rPr>
          <w:rFonts w:ascii="Times New Roman" w:hAnsi="Times New Roman"/>
        </w:rPr>
        <w:t xml:space="preserve"> </w:t>
      </w:r>
      <w:proofErr w:type="gramStart"/>
      <w:r w:rsidRPr="00847DBA">
        <w:rPr>
          <w:rFonts w:ascii="Times New Roman" w:hAnsi="Times New Roman"/>
          <w:i/>
        </w:rPr>
        <w:t xml:space="preserve">Northern Ireland Constitutional Proposals, </w:t>
      </w:r>
      <w:r w:rsidRPr="00847DBA">
        <w:rPr>
          <w:rFonts w:ascii="Times New Roman" w:hAnsi="Times New Roman"/>
        </w:rPr>
        <w:t xml:space="preserve">1973, </w:t>
      </w:r>
      <w:proofErr w:type="spellStart"/>
      <w:r w:rsidRPr="00847DBA">
        <w:rPr>
          <w:rFonts w:ascii="Times New Roman" w:hAnsi="Times New Roman"/>
        </w:rPr>
        <w:t>Cmnd</w:t>
      </w:r>
      <w:proofErr w:type="spellEnd"/>
      <w:r w:rsidRPr="00847DBA">
        <w:rPr>
          <w:rFonts w:ascii="Times New Roman" w:hAnsi="Times New Roman"/>
        </w:rPr>
        <w:t xml:space="preserve"> 5259.</w:t>
      </w:r>
      <w:proofErr w:type="gramEnd"/>
      <w:r w:rsidRPr="00847DBA">
        <w:rPr>
          <w:rFonts w:ascii="Times New Roman" w:hAnsi="Times New Roman"/>
        </w:rPr>
        <w:t xml:space="preserve"> </w:t>
      </w:r>
      <w:proofErr w:type="gramStart"/>
      <w:r w:rsidRPr="00847DBA">
        <w:rPr>
          <w:rFonts w:ascii="Times New Roman" w:hAnsi="Times New Roman"/>
        </w:rPr>
        <w:t>Para.</w:t>
      </w:r>
      <w:proofErr w:type="gramEnd"/>
      <w:r w:rsidRPr="00847DBA">
        <w:rPr>
          <w:rFonts w:ascii="Times New Roman" w:hAnsi="Times New Roman"/>
        </w:rPr>
        <w:t xml:space="preserve"> 91</w:t>
      </w:r>
    </w:p>
  </w:footnote>
  <w:footnote w:id="70">
    <w:p w:rsidR="00443EDA" w:rsidRDefault="00443EDA" w:rsidP="00AD6DC0">
      <w:pPr>
        <w:pStyle w:val="FootnoteText"/>
        <w:spacing w:after="0" w:line="240" w:lineRule="auto"/>
      </w:pPr>
      <w:r w:rsidRPr="00847DBA">
        <w:rPr>
          <w:rStyle w:val="FootnoteReference"/>
        </w:rPr>
        <w:footnoteRef/>
      </w:r>
      <w:r w:rsidRPr="00847DBA">
        <w:rPr>
          <w:rFonts w:ascii="Times New Roman" w:hAnsi="Times New Roman"/>
        </w:rPr>
        <w:t xml:space="preserve"> </w:t>
      </w:r>
      <w:proofErr w:type="gramStart"/>
      <w:r w:rsidRPr="00847DBA">
        <w:rPr>
          <w:rFonts w:ascii="Times New Roman" w:hAnsi="Times New Roman"/>
          <w:i/>
        </w:rPr>
        <w:t xml:space="preserve">Northern Ireland Constitutional Proposals, </w:t>
      </w:r>
      <w:r w:rsidRPr="00847DBA">
        <w:rPr>
          <w:rFonts w:ascii="Times New Roman" w:hAnsi="Times New Roman"/>
        </w:rPr>
        <w:t xml:space="preserve">1973, </w:t>
      </w:r>
      <w:proofErr w:type="spellStart"/>
      <w:r w:rsidRPr="00847DBA">
        <w:rPr>
          <w:rFonts w:ascii="Times New Roman" w:hAnsi="Times New Roman"/>
        </w:rPr>
        <w:t>Cmnd</w:t>
      </w:r>
      <w:proofErr w:type="spellEnd"/>
      <w:r w:rsidRPr="00847DBA">
        <w:rPr>
          <w:rFonts w:ascii="Times New Roman" w:hAnsi="Times New Roman"/>
        </w:rPr>
        <w:t xml:space="preserve"> 5259.</w:t>
      </w:r>
      <w:proofErr w:type="gramEnd"/>
      <w:r w:rsidRPr="00847DBA">
        <w:rPr>
          <w:rFonts w:ascii="Times New Roman" w:hAnsi="Times New Roman"/>
        </w:rPr>
        <w:t xml:space="preserve"> </w:t>
      </w:r>
      <w:proofErr w:type="gramStart"/>
      <w:r w:rsidRPr="00847DBA">
        <w:rPr>
          <w:rFonts w:ascii="Times New Roman" w:hAnsi="Times New Roman"/>
        </w:rPr>
        <w:t>Para.</w:t>
      </w:r>
      <w:proofErr w:type="gramEnd"/>
      <w:r w:rsidRPr="00847DBA">
        <w:rPr>
          <w:rFonts w:ascii="Times New Roman" w:hAnsi="Times New Roman"/>
        </w:rPr>
        <w:t xml:space="preserve"> 92</w:t>
      </w:r>
    </w:p>
  </w:footnote>
  <w:footnote w:id="71">
    <w:p w:rsidR="00443EDA" w:rsidRDefault="00443EDA" w:rsidP="00AD6DC0">
      <w:pPr>
        <w:pStyle w:val="FootnoteText"/>
        <w:spacing w:after="0" w:line="240" w:lineRule="auto"/>
      </w:pPr>
      <w:r w:rsidRPr="00847DBA">
        <w:rPr>
          <w:rStyle w:val="FootnoteReference"/>
        </w:rPr>
        <w:footnoteRef/>
      </w:r>
      <w:r w:rsidRPr="00847DBA">
        <w:rPr>
          <w:rFonts w:ascii="Times New Roman" w:hAnsi="Times New Roman"/>
        </w:rPr>
        <w:t xml:space="preserve"> </w:t>
      </w:r>
      <w:proofErr w:type="gramStart"/>
      <w:r w:rsidRPr="00847DBA">
        <w:rPr>
          <w:rFonts w:ascii="Times New Roman" w:hAnsi="Times New Roman"/>
          <w:i/>
        </w:rPr>
        <w:t xml:space="preserve">Northern Ireland Constitutional Proposals, </w:t>
      </w:r>
      <w:r w:rsidRPr="00847DBA">
        <w:rPr>
          <w:rFonts w:ascii="Times New Roman" w:hAnsi="Times New Roman"/>
        </w:rPr>
        <w:t xml:space="preserve">1973, </w:t>
      </w:r>
      <w:proofErr w:type="spellStart"/>
      <w:r w:rsidRPr="00847DBA">
        <w:rPr>
          <w:rFonts w:ascii="Times New Roman" w:hAnsi="Times New Roman"/>
        </w:rPr>
        <w:t>Cmnd</w:t>
      </w:r>
      <w:proofErr w:type="spellEnd"/>
      <w:r w:rsidRPr="00847DBA">
        <w:rPr>
          <w:rFonts w:ascii="Times New Roman" w:hAnsi="Times New Roman"/>
        </w:rPr>
        <w:t xml:space="preserve"> 5259.</w:t>
      </w:r>
      <w:proofErr w:type="gramEnd"/>
      <w:r w:rsidRPr="00847DBA">
        <w:rPr>
          <w:rFonts w:ascii="Times New Roman" w:hAnsi="Times New Roman"/>
        </w:rPr>
        <w:t xml:space="preserve"> </w:t>
      </w:r>
      <w:proofErr w:type="gramStart"/>
      <w:r w:rsidRPr="00847DBA">
        <w:rPr>
          <w:rFonts w:ascii="Times New Roman" w:hAnsi="Times New Roman"/>
        </w:rPr>
        <w:t>Para.</w:t>
      </w:r>
      <w:proofErr w:type="gramEnd"/>
      <w:r w:rsidRPr="00847DBA">
        <w:rPr>
          <w:rFonts w:ascii="Times New Roman" w:hAnsi="Times New Roman"/>
        </w:rPr>
        <w:t xml:space="preserve"> 93</w:t>
      </w:r>
    </w:p>
  </w:footnote>
  <w:footnote w:id="72">
    <w:p w:rsidR="00443EDA" w:rsidRDefault="00443EDA" w:rsidP="00AD6DC0">
      <w:pPr>
        <w:pStyle w:val="FootnoteText"/>
        <w:spacing w:after="0" w:line="240" w:lineRule="auto"/>
      </w:pPr>
      <w:r w:rsidRPr="00847DBA">
        <w:rPr>
          <w:rStyle w:val="FootnoteReference"/>
        </w:rPr>
        <w:footnoteRef/>
      </w:r>
      <w:r w:rsidRPr="00847DBA">
        <w:rPr>
          <w:rFonts w:ascii="Times New Roman" w:hAnsi="Times New Roman"/>
        </w:rPr>
        <w:t xml:space="preserve"> HC Debate 14 May 1973, </w:t>
      </w:r>
      <w:proofErr w:type="spellStart"/>
      <w:r w:rsidRPr="00847DBA">
        <w:rPr>
          <w:rFonts w:ascii="Times New Roman" w:hAnsi="Times New Roman"/>
        </w:rPr>
        <w:t>vol</w:t>
      </w:r>
      <w:proofErr w:type="spellEnd"/>
      <w:r w:rsidRPr="00847DBA">
        <w:rPr>
          <w:rFonts w:ascii="Times New Roman" w:hAnsi="Times New Roman"/>
        </w:rPr>
        <w:t xml:space="preserve"> 856, c 1147-71.</w:t>
      </w:r>
    </w:p>
  </w:footnote>
  <w:footnote w:id="73">
    <w:p w:rsidR="00443EDA" w:rsidRDefault="00443EDA" w:rsidP="00AD6DC0">
      <w:pPr>
        <w:pStyle w:val="FootnoteText"/>
        <w:spacing w:after="0" w:line="240" w:lineRule="auto"/>
      </w:pPr>
      <w:r w:rsidRPr="00847DBA">
        <w:rPr>
          <w:rStyle w:val="FootnoteReference"/>
        </w:rPr>
        <w:footnoteRef/>
      </w:r>
      <w:r w:rsidRPr="00847DBA">
        <w:rPr>
          <w:rFonts w:ascii="Times New Roman" w:hAnsi="Times New Roman"/>
        </w:rPr>
        <w:t xml:space="preserve"> HC Debate 14 May 1973, </w:t>
      </w:r>
      <w:proofErr w:type="spellStart"/>
      <w:r w:rsidRPr="00847DBA">
        <w:rPr>
          <w:rFonts w:ascii="Times New Roman" w:hAnsi="Times New Roman"/>
        </w:rPr>
        <w:t>vol</w:t>
      </w:r>
      <w:proofErr w:type="spellEnd"/>
      <w:r w:rsidRPr="00847DBA">
        <w:rPr>
          <w:rFonts w:ascii="Times New Roman" w:hAnsi="Times New Roman"/>
        </w:rPr>
        <w:t xml:space="preserve"> 856, 1174.</w:t>
      </w:r>
    </w:p>
  </w:footnote>
  <w:footnote w:id="74">
    <w:p w:rsidR="00443EDA" w:rsidRDefault="00443EDA" w:rsidP="00AD6DC0">
      <w:pPr>
        <w:pStyle w:val="FootnoteText"/>
        <w:spacing w:after="0" w:line="240" w:lineRule="auto"/>
      </w:pPr>
      <w:r w:rsidRPr="00847DBA">
        <w:rPr>
          <w:rStyle w:val="FootnoteReference"/>
        </w:rPr>
        <w:footnoteRef/>
      </w:r>
      <w:r w:rsidRPr="00847DBA">
        <w:rPr>
          <w:rFonts w:ascii="Times New Roman" w:hAnsi="Times New Roman"/>
        </w:rPr>
        <w:t xml:space="preserve"> </w:t>
      </w:r>
      <w:proofErr w:type="gramStart"/>
      <w:r w:rsidRPr="00847DBA">
        <w:rPr>
          <w:rFonts w:ascii="Times New Roman" w:hAnsi="Times New Roman"/>
        </w:rPr>
        <w:t>HC Debate 14 May 1973, vol. 856, c 1149-50 and 1174.</w:t>
      </w:r>
      <w:proofErr w:type="gramEnd"/>
    </w:p>
  </w:footnote>
  <w:footnote w:id="75">
    <w:p w:rsidR="00443EDA" w:rsidRDefault="00443EDA" w:rsidP="00AD6DC0">
      <w:pPr>
        <w:pStyle w:val="FootnoteText"/>
        <w:spacing w:after="0" w:line="240" w:lineRule="auto"/>
      </w:pPr>
      <w:r w:rsidRPr="00847DBA">
        <w:rPr>
          <w:rStyle w:val="FootnoteReference"/>
        </w:rPr>
        <w:footnoteRef/>
      </w:r>
      <w:r w:rsidRPr="00847DBA">
        <w:rPr>
          <w:rFonts w:ascii="Times New Roman" w:hAnsi="Times New Roman"/>
        </w:rPr>
        <w:t xml:space="preserve"> HC Debate 14 May 1973, </w:t>
      </w:r>
      <w:proofErr w:type="spellStart"/>
      <w:r w:rsidRPr="00847DBA">
        <w:rPr>
          <w:rFonts w:ascii="Times New Roman" w:hAnsi="Times New Roman"/>
        </w:rPr>
        <w:t>vol</w:t>
      </w:r>
      <w:proofErr w:type="spellEnd"/>
      <w:r w:rsidRPr="00847DBA">
        <w:rPr>
          <w:rFonts w:ascii="Times New Roman" w:hAnsi="Times New Roman"/>
        </w:rPr>
        <w:t xml:space="preserve"> 856, c. 1148</w:t>
      </w:r>
    </w:p>
  </w:footnote>
  <w:footnote w:id="76">
    <w:p w:rsidR="00443EDA" w:rsidRDefault="00443EDA" w:rsidP="00AD6DC0">
      <w:pPr>
        <w:pStyle w:val="FootnoteText"/>
        <w:spacing w:after="0" w:line="240" w:lineRule="auto"/>
      </w:pPr>
      <w:r w:rsidRPr="00847DBA">
        <w:rPr>
          <w:rStyle w:val="FootnoteReference"/>
        </w:rPr>
        <w:footnoteRef/>
      </w:r>
      <w:r w:rsidRPr="00847DBA">
        <w:rPr>
          <w:rFonts w:ascii="Times New Roman" w:hAnsi="Times New Roman"/>
        </w:rPr>
        <w:t xml:space="preserve"> HC Debates, 14 May 1973, </w:t>
      </w:r>
      <w:proofErr w:type="spellStart"/>
      <w:r w:rsidRPr="00847DBA">
        <w:rPr>
          <w:rFonts w:ascii="Times New Roman" w:hAnsi="Times New Roman"/>
        </w:rPr>
        <w:t>vol</w:t>
      </w:r>
      <w:proofErr w:type="spellEnd"/>
      <w:r w:rsidRPr="00847DBA">
        <w:rPr>
          <w:rFonts w:ascii="Times New Roman" w:hAnsi="Times New Roman"/>
        </w:rPr>
        <w:t xml:space="preserve"> 856, 1174</w:t>
      </w:r>
    </w:p>
  </w:footnote>
  <w:footnote w:id="77">
    <w:p w:rsidR="00443EDA" w:rsidRDefault="00443EDA" w:rsidP="00AD6DC0">
      <w:pPr>
        <w:pStyle w:val="FootnoteText"/>
        <w:spacing w:after="0" w:line="240" w:lineRule="auto"/>
      </w:pPr>
      <w:r w:rsidRPr="00847DBA">
        <w:rPr>
          <w:rStyle w:val="FootnoteReference"/>
        </w:rPr>
        <w:footnoteRef/>
      </w:r>
      <w:r w:rsidRPr="00847DBA">
        <w:rPr>
          <w:rFonts w:ascii="Times New Roman" w:hAnsi="Times New Roman"/>
        </w:rPr>
        <w:t xml:space="preserve"> HC Debate 4 April 1974, vol. 871, cc 1417-1589</w:t>
      </w:r>
    </w:p>
  </w:footnote>
  <w:footnote w:id="78">
    <w:p w:rsidR="00443EDA" w:rsidRDefault="00443EDA" w:rsidP="00AD6DC0">
      <w:pPr>
        <w:pStyle w:val="FootnoteText"/>
      </w:pPr>
      <w:r>
        <w:rPr>
          <w:rStyle w:val="FootnoteReference"/>
        </w:rPr>
        <w:footnoteRef/>
      </w:r>
      <w:r>
        <w:t xml:space="preserve"> </w:t>
      </w:r>
      <w:r w:rsidRPr="00847DBA">
        <w:rPr>
          <w:rFonts w:ascii="Times New Roman" w:hAnsi="Times New Roman"/>
        </w:rPr>
        <w:t>HC De</w:t>
      </w:r>
      <w:r>
        <w:rPr>
          <w:rFonts w:ascii="Times New Roman" w:hAnsi="Times New Roman"/>
        </w:rPr>
        <w:t>bate 4 April 1974, vol. 871, cc 1476</w:t>
      </w:r>
    </w:p>
  </w:footnote>
  <w:footnote w:id="79">
    <w:p w:rsidR="00443EDA" w:rsidRDefault="00443EDA" w:rsidP="00AD6DC0">
      <w:pPr>
        <w:pStyle w:val="FootnoteText"/>
        <w:spacing w:after="0" w:line="240" w:lineRule="auto"/>
      </w:pPr>
      <w:r w:rsidRPr="00847DBA">
        <w:rPr>
          <w:rStyle w:val="FootnoteReference"/>
        </w:rPr>
        <w:footnoteRef/>
      </w:r>
      <w:r w:rsidRPr="00847DBA">
        <w:rPr>
          <w:rFonts w:ascii="Times New Roman" w:hAnsi="Times New Roman"/>
        </w:rPr>
        <w:t xml:space="preserve"> HL Debate 15 May 1974, </w:t>
      </w:r>
      <w:proofErr w:type="spellStart"/>
      <w:r w:rsidRPr="00847DBA">
        <w:rPr>
          <w:rFonts w:ascii="Times New Roman" w:hAnsi="Times New Roman"/>
        </w:rPr>
        <w:t>vol</w:t>
      </w:r>
      <w:proofErr w:type="spellEnd"/>
      <w:r w:rsidRPr="00847DBA">
        <w:rPr>
          <w:rFonts w:ascii="Times New Roman" w:hAnsi="Times New Roman"/>
        </w:rPr>
        <w:t xml:space="preserve"> 351 cc 1092-5</w:t>
      </w:r>
    </w:p>
  </w:footnote>
  <w:footnote w:id="80">
    <w:p w:rsidR="00443EDA" w:rsidRPr="00622E12" w:rsidRDefault="00443EDA" w:rsidP="00AD6DC0">
      <w:pPr>
        <w:pStyle w:val="FootnoteText"/>
        <w:spacing w:after="0"/>
        <w:rPr>
          <w:lang w:val="es-ES"/>
        </w:rPr>
      </w:pPr>
      <w:r>
        <w:rPr>
          <w:rStyle w:val="FootnoteReference"/>
        </w:rPr>
        <w:footnoteRef/>
      </w:r>
      <w:r w:rsidRPr="00622E12">
        <w:rPr>
          <w:lang w:val="es-ES"/>
        </w:rPr>
        <w:t xml:space="preserve"> </w:t>
      </w:r>
      <w:r w:rsidRPr="00622E12">
        <w:rPr>
          <w:rFonts w:ascii="Times New Roman" w:hAnsi="Times New Roman"/>
          <w:lang w:val="es-ES"/>
        </w:rPr>
        <w:t xml:space="preserve">HC Debate 4 </w:t>
      </w:r>
      <w:proofErr w:type="spellStart"/>
      <w:r w:rsidRPr="00622E12">
        <w:rPr>
          <w:rFonts w:ascii="Times New Roman" w:hAnsi="Times New Roman"/>
          <w:lang w:val="es-ES"/>
        </w:rPr>
        <w:t>April</w:t>
      </w:r>
      <w:proofErr w:type="spellEnd"/>
      <w:r w:rsidRPr="00622E12">
        <w:rPr>
          <w:rFonts w:ascii="Times New Roman" w:hAnsi="Times New Roman"/>
          <w:lang w:val="es-ES"/>
        </w:rPr>
        <w:t xml:space="preserve"> 1974, vol. 871, cc 1475.</w:t>
      </w:r>
    </w:p>
  </w:footnote>
  <w:footnote w:id="81">
    <w:p w:rsidR="00443EDA" w:rsidRPr="00622E12" w:rsidRDefault="00443EDA" w:rsidP="00AD6DC0">
      <w:pPr>
        <w:pStyle w:val="FootnoteText"/>
        <w:spacing w:after="0"/>
        <w:rPr>
          <w:lang w:val="es-ES"/>
        </w:rPr>
      </w:pPr>
      <w:r>
        <w:rPr>
          <w:rStyle w:val="FootnoteReference"/>
        </w:rPr>
        <w:footnoteRef/>
      </w:r>
      <w:r w:rsidRPr="00622E12">
        <w:rPr>
          <w:lang w:val="es-ES"/>
        </w:rPr>
        <w:t xml:space="preserve"> </w:t>
      </w:r>
      <w:r w:rsidRPr="00622E12">
        <w:rPr>
          <w:rFonts w:ascii="Times New Roman" w:hAnsi="Times New Roman"/>
          <w:lang w:val="es-ES"/>
        </w:rPr>
        <w:t xml:space="preserve">HC Debate 4 </w:t>
      </w:r>
      <w:proofErr w:type="spellStart"/>
      <w:r w:rsidRPr="00622E12">
        <w:rPr>
          <w:rFonts w:ascii="Times New Roman" w:hAnsi="Times New Roman"/>
          <w:lang w:val="es-ES"/>
        </w:rPr>
        <w:t>April</w:t>
      </w:r>
      <w:proofErr w:type="spellEnd"/>
      <w:r w:rsidRPr="00622E12">
        <w:rPr>
          <w:rFonts w:ascii="Times New Roman" w:hAnsi="Times New Roman"/>
          <w:lang w:val="es-ES"/>
        </w:rPr>
        <w:t xml:space="preserve"> 1974, vol. 871, cc 1476.</w:t>
      </w:r>
    </w:p>
  </w:footnote>
  <w:footnote w:id="82">
    <w:p w:rsidR="00443EDA" w:rsidRPr="00622E12" w:rsidRDefault="00443EDA" w:rsidP="00C2511F">
      <w:pPr>
        <w:pStyle w:val="FootnoteText"/>
        <w:spacing w:after="0"/>
        <w:rPr>
          <w:lang w:val="es-ES"/>
        </w:rPr>
      </w:pPr>
      <w:r w:rsidRPr="001E6F13">
        <w:rPr>
          <w:rStyle w:val="FootnoteReference"/>
        </w:rPr>
        <w:footnoteRef/>
      </w:r>
      <w:r w:rsidRPr="00622E12">
        <w:rPr>
          <w:rFonts w:ascii="Times New Roman" w:hAnsi="Times New Roman"/>
          <w:lang w:val="es-ES"/>
        </w:rPr>
        <w:t xml:space="preserve"> Sr. Sainz de </w:t>
      </w:r>
      <w:proofErr w:type="spellStart"/>
      <w:r w:rsidRPr="00622E12">
        <w:rPr>
          <w:rFonts w:ascii="Times New Roman" w:hAnsi="Times New Roman"/>
          <w:lang w:val="es-ES"/>
        </w:rPr>
        <w:t>Varanda</w:t>
      </w:r>
      <w:proofErr w:type="spellEnd"/>
      <w:r w:rsidRPr="00622E12">
        <w:rPr>
          <w:rFonts w:ascii="Times New Roman" w:hAnsi="Times New Roman"/>
          <w:lang w:val="es-ES"/>
        </w:rPr>
        <w:t xml:space="preserve"> Jiménez, </w:t>
      </w:r>
      <w:r w:rsidRPr="00622E12">
        <w:rPr>
          <w:rFonts w:ascii="Times New Roman" w:hAnsi="Times New Roman"/>
          <w:i/>
          <w:lang w:val="es-ES"/>
        </w:rPr>
        <w:t>Diario de Sesiones del Senado</w:t>
      </w:r>
      <w:r w:rsidRPr="00622E12">
        <w:rPr>
          <w:rFonts w:ascii="Times New Roman" w:hAnsi="Times New Roman"/>
          <w:lang w:val="es-ES"/>
        </w:rPr>
        <w:t xml:space="preserve">, Comisión de Constitución, </w:t>
      </w:r>
      <w:proofErr w:type="spellStart"/>
      <w:r w:rsidRPr="00622E12">
        <w:rPr>
          <w:rFonts w:ascii="Times New Roman" w:hAnsi="Times New Roman"/>
          <w:lang w:val="es-ES"/>
        </w:rPr>
        <w:t>núm</w:t>
      </w:r>
      <w:proofErr w:type="spellEnd"/>
      <w:r w:rsidRPr="00622E12">
        <w:rPr>
          <w:rFonts w:ascii="Times New Roman" w:hAnsi="Times New Roman"/>
          <w:lang w:val="es-ES"/>
        </w:rPr>
        <w:t xml:space="preserve"> 41, 22 </w:t>
      </w:r>
      <w:proofErr w:type="spellStart"/>
      <w:r w:rsidRPr="00622E12">
        <w:rPr>
          <w:rFonts w:ascii="Times New Roman" w:hAnsi="Times New Roman"/>
          <w:lang w:val="es-ES"/>
        </w:rPr>
        <w:t>August</w:t>
      </w:r>
      <w:proofErr w:type="spellEnd"/>
      <w:r w:rsidRPr="00622E12">
        <w:rPr>
          <w:rFonts w:ascii="Times New Roman" w:hAnsi="Times New Roman"/>
          <w:lang w:val="es-ES"/>
        </w:rPr>
        <w:t xml:space="preserve"> 1978, p. 1692.</w:t>
      </w:r>
    </w:p>
  </w:footnote>
  <w:footnote w:id="83">
    <w:p w:rsidR="00443EDA" w:rsidRPr="00622E12" w:rsidRDefault="00443EDA" w:rsidP="00C2511F">
      <w:pPr>
        <w:pStyle w:val="FootnoteText"/>
        <w:spacing w:after="0"/>
        <w:rPr>
          <w:lang w:val="es-ES"/>
        </w:rPr>
      </w:pPr>
      <w:r w:rsidRPr="001E6F13">
        <w:rPr>
          <w:rStyle w:val="FootnoteReference"/>
        </w:rPr>
        <w:footnoteRef/>
      </w:r>
      <w:r w:rsidRPr="00622E12">
        <w:rPr>
          <w:rFonts w:ascii="Times New Roman" w:hAnsi="Times New Roman"/>
          <w:lang w:val="es-ES"/>
        </w:rPr>
        <w:t xml:space="preserve"> </w:t>
      </w:r>
      <w:r w:rsidRPr="00622E12">
        <w:rPr>
          <w:rFonts w:ascii="Times New Roman" w:hAnsi="Times New Roman"/>
          <w:i/>
          <w:lang w:val="es-ES"/>
        </w:rPr>
        <w:t>Diario de Sesiones del Congreso de los Diputados</w:t>
      </w:r>
      <w:r w:rsidRPr="00622E12">
        <w:rPr>
          <w:rFonts w:ascii="Times New Roman" w:hAnsi="Times New Roman"/>
          <w:lang w:val="es-ES"/>
        </w:rPr>
        <w:t>, núm. 94, 21 June 1978, p 3537-3544.</w:t>
      </w:r>
    </w:p>
  </w:footnote>
  <w:footnote w:id="84">
    <w:p w:rsidR="00443EDA" w:rsidRPr="00622E12" w:rsidRDefault="00443EDA" w:rsidP="00C2511F">
      <w:pPr>
        <w:pStyle w:val="FootnoteText"/>
        <w:spacing w:after="0"/>
        <w:rPr>
          <w:lang w:val="es-ES"/>
        </w:rPr>
      </w:pPr>
      <w:r w:rsidRPr="001E6F13">
        <w:rPr>
          <w:rStyle w:val="FootnoteReference"/>
        </w:rPr>
        <w:footnoteRef/>
      </w:r>
      <w:r w:rsidRPr="00622E12">
        <w:rPr>
          <w:rFonts w:ascii="Times New Roman" w:hAnsi="Times New Roman"/>
          <w:lang w:val="es-ES"/>
        </w:rPr>
        <w:t xml:space="preserve"> </w:t>
      </w:r>
      <w:proofErr w:type="spellStart"/>
      <w:r w:rsidRPr="00622E12">
        <w:rPr>
          <w:rFonts w:ascii="Times New Roman" w:hAnsi="Times New Roman"/>
          <w:lang w:val="es-ES"/>
        </w:rPr>
        <w:t>Interpelacion</w:t>
      </w:r>
      <w:proofErr w:type="spellEnd"/>
      <w:r w:rsidRPr="00622E12">
        <w:rPr>
          <w:rFonts w:ascii="Times New Roman" w:hAnsi="Times New Roman"/>
          <w:lang w:val="es-ES"/>
        </w:rPr>
        <w:t xml:space="preserve"> urgente del Grupo Parlamentario de Coalición Popular, </w:t>
      </w:r>
      <w:proofErr w:type="spellStart"/>
      <w:r w:rsidRPr="00622E12">
        <w:rPr>
          <w:rFonts w:ascii="Times New Roman" w:hAnsi="Times New Roman"/>
          <w:lang w:val="es-ES"/>
        </w:rPr>
        <w:t>relative</w:t>
      </w:r>
      <w:proofErr w:type="spellEnd"/>
      <w:r w:rsidRPr="00622E12">
        <w:rPr>
          <w:rFonts w:ascii="Times New Roman" w:hAnsi="Times New Roman"/>
          <w:lang w:val="es-ES"/>
        </w:rPr>
        <w:t xml:space="preserve"> a política general del Gobierno sobre la ilegalización de </w:t>
      </w:r>
      <w:proofErr w:type="spellStart"/>
      <w:r w:rsidRPr="00622E12">
        <w:rPr>
          <w:rFonts w:ascii="Times New Roman" w:hAnsi="Times New Roman"/>
          <w:lang w:val="es-ES"/>
        </w:rPr>
        <w:t>Herri</w:t>
      </w:r>
      <w:proofErr w:type="spellEnd"/>
      <w:r w:rsidRPr="00622E12">
        <w:rPr>
          <w:rFonts w:ascii="Times New Roman" w:hAnsi="Times New Roman"/>
          <w:lang w:val="es-ES"/>
        </w:rPr>
        <w:t xml:space="preserve"> Batasuna, </w:t>
      </w:r>
      <w:r w:rsidRPr="00622E12">
        <w:rPr>
          <w:rFonts w:ascii="Times New Roman" w:hAnsi="Times New Roman"/>
          <w:i/>
          <w:lang w:val="es-ES"/>
        </w:rPr>
        <w:t>Boletín Oficial del Estado</w:t>
      </w:r>
      <w:r w:rsidRPr="00622E12">
        <w:rPr>
          <w:rFonts w:ascii="Times New Roman" w:hAnsi="Times New Roman"/>
          <w:lang w:val="es-ES"/>
        </w:rPr>
        <w:t xml:space="preserve">, Serie D, </w:t>
      </w:r>
      <w:proofErr w:type="spellStart"/>
      <w:r w:rsidRPr="00622E12">
        <w:rPr>
          <w:rFonts w:ascii="Times New Roman" w:hAnsi="Times New Roman"/>
          <w:lang w:val="es-ES"/>
        </w:rPr>
        <w:t>núm</w:t>
      </w:r>
      <w:proofErr w:type="spellEnd"/>
      <w:r w:rsidRPr="00622E12">
        <w:rPr>
          <w:rFonts w:ascii="Times New Roman" w:hAnsi="Times New Roman"/>
          <w:lang w:val="es-ES"/>
        </w:rPr>
        <w:t xml:space="preserve"> 164, 22 </w:t>
      </w:r>
      <w:proofErr w:type="spellStart"/>
      <w:r w:rsidRPr="00622E12">
        <w:rPr>
          <w:rFonts w:ascii="Times New Roman" w:hAnsi="Times New Roman"/>
          <w:lang w:val="es-ES"/>
        </w:rPr>
        <w:t>March</w:t>
      </w:r>
      <w:proofErr w:type="spellEnd"/>
      <w:r w:rsidRPr="00622E12">
        <w:rPr>
          <w:rFonts w:ascii="Times New Roman" w:hAnsi="Times New Roman"/>
          <w:lang w:val="es-ES"/>
        </w:rPr>
        <w:t xml:space="preserve"> 1988, 8998.</w:t>
      </w:r>
    </w:p>
  </w:footnote>
  <w:footnote w:id="85">
    <w:p w:rsidR="00443EDA" w:rsidRPr="00622E12" w:rsidRDefault="00443EDA" w:rsidP="00C2511F">
      <w:pPr>
        <w:pStyle w:val="FootnoteText"/>
        <w:spacing w:after="0"/>
        <w:rPr>
          <w:lang w:val="es-ES"/>
        </w:rPr>
      </w:pPr>
      <w:r w:rsidRPr="001E6F13">
        <w:rPr>
          <w:rStyle w:val="FootnoteReference"/>
        </w:rPr>
        <w:footnoteRef/>
      </w:r>
      <w:r w:rsidRPr="00622E12">
        <w:rPr>
          <w:rFonts w:ascii="Times New Roman" w:hAnsi="Times New Roman"/>
          <w:lang w:val="es-ES"/>
        </w:rPr>
        <w:t xml:space="preserve"> </w:t>
      </w:r>
      <w:r w:rsidRPr="00622E12">
        <w:rPr>
          <w:rFonts w:ascii="Times New Roman" w:hAnsi="Times New Roman"/>
          <w:i/>
          <w:lang w:val="es-ES"/>
        </w:rPr>
        <w:t>Diario de Sesiones del Congreso de los Diputados</w:t>
      </w:r>
      <w:r w:rsidRPr="00622E12">
        <w:rPr>
          <w:rFonts w:ascii="Times New Roman" w:hAnsi="Times New Roman"/>
          <w:lang w:val="es-ES"/>
        </w:rPr>
        <w:t xml:space="preserve">, </w:t>
      </w:r>
      <w:proofErr w:type="spellStart"/>
      <w:r w:rsidRPr="00622E12">
        <w:rPr>
          <w:rFonts w:ascii="Times New Roman" w:hAnsi="Times New Roman"/>
          <w:lang w:val="es-ES"/>
        </w:rPr>
        <w:t>núm</w:t>
      </w:r>
      <w:proofErr w:type="spellEnd"/>
      <w:r w:rsidRPr="00622E12">
        <w:rPr>
          <w:rFonts w:ascii="Times New Roman" w:hAnsi="Times New Roman"/>
          <w:lang w:val="es-ES"/>
        </w:rPr>
        <w:t xml:space="preserve"> 219, 17 </w:t>
      </w:r>
      <w:proofErr w:type="spellStart"/>
      <w:r w:rsidRPr="00622E12">
        <w:rPr>
          <w:rFonts w:ascii="Times New Roman" w:hAnsi="Times New Roman"/>
          <w:lang w:val="es-ES"/>
        </w:rPr>
        <w:t>February</w:t>
      </w:r>
      <w:proofErr w:type="spellEnd"/>
      <w:r w:rsidRPr="00622E12">
        <w:rPr>
          <w:rFonts w:ascii="Times New Roman" w:hAnsi="Times New Roman"/>
          <w:lang w:val="es-ES"/>
        </w:rPr>
        <w:t xml:space="preserve"> 1988, p 7989. </w:t>
      </w:r>
    </w:p>
  </w:footnote>
  <w:footnote w:id="86">
    <w:p w:rsidR="00443EDA" w:rsidRPr="00622E12" w:rsidRDefault="00443EDA" w:rsidP="00C2511F">
      <w:pPr>
        <w:pStyle w:val="FootnoteText"/>
        <w:spacing w:after="0"/>
        <w:rPr>
          <w:lang w:val="es-ES"/>
        </w:rPr>
      </w:pPr>
      <w:r>
        <w:rPr>
          <w:rStyle w:val="FootnoteReference"/>
        </w:rPr>
        <w:footnoteRef/>
      </w:r>
      <w:r w:rsidRPr="00622E12">
        <w:rPr>
          <w:lang w:val="es-ES"/>
        </w:rPr>
        <w:t xml:space="preserve"> </w:t>
      </w:r>
      <w:proofErr w:type="spellStart"/>
      <w:r w:rsidRPr="00622E12">
        <w:rPr>
          <w:rFonts w:ascii="Times New Roman" w:hAnsi="Times New Roman"/>
          <w:lang w:val="es-ES"/>
        </w:rPr>
        <w:t>Interpelacion</w:t>
      </w:r>
      <w:proofErr w:type="spellEnd"/>
      <w:r w:rsidRPr="00622E12">
        <w:rPr>
          <w:rFonts w:ascii="Times New Roman" w:hAnsi="Times New Roman"/>
          <w:lang w:val="es-ES"/>
        </w:rPr>
        <w:t xml:space="preserve"> urgente del Grupo Parlamentario de Coalición Popular, </w:t>
      </w:r>
      <w:proofErr w:type="spellStart"/>
      <w:r w:rsidRPr="00622E12">
        <w:rPr>
          <w:rFonts w:ascii="Times New Roman" w:hAnsi="Times New Roman"/>
          <w:lang w:val="es-ES"/>
        </w:rPr>
        <w:t>relative</w:t>
      </w:r>
      <w:proofErr w:type="spellEnd"/>
      <w:r w:rsidRPr="00622E12">
        <w:rPr>
          <w:rFonts w:ascii="Times New Roman" w:hAnsi="Times New Roman"/>
          <w:lang w:val="es-ES"/>
        </w:rPr>
        <w:t xml:space="preserve"> a política general del Gobierno sobre la ilegalización de </w:t>
      </w:r>
      <w:proofErr w:type="spellStart"/>
      <w:r w:rsidRPr="00622E12">
        <w:rPr>
          <w:rFonts w:ascii="Times New Roman" w:hAnsi="Times New Roman"/>
          <w:lang w:val="es-ES"/>
        </w:rPr>
        <w:t>Herri</w:t>
      </w:r>
      <w:proofErr w:type="spellEnd"/>
      <w:r w:rsidRPr="00622E12">
        <w:rPr>
          <w:rFonts w:ascii="Times New Roman" w:hAnsi="Times New Roman"/>
          <w:lang w:val="es-ES"/>
        </w:rPr>
        <w:t xml:space="preserve"> Batasuna, </w:t>
      </w:r>
      <w:r w:rsidRPr="00622E12">
        <w:rPr>
          <w:rFonts w:ascii="Times New Roman" w:hAnsi="Times New Roman"/>
          <w:i/>
          <w:lang w:val="es-ES"/>
        </w:rPr>
        <w:t>Boletín Oficial del Estado</w:t>
      </w:r>
      <w:r w:rsidRPr="00622E12">
        <w:rPr>
          <w:rFonts w:ascii="Times New Roman" w:hAnsi="Times New Roman"/>
          <w:lang w:val="es-ES"/>
        </w:rPr>
        <w:t xml:space="preserve">, Serie D, </w:t>
      </w:r>
      <w:proofErr w:type="spellStart"/>
      <w:r w:rsidRPr="00622E12">
        <w:rPr>
          <w:rFonts w:ascii="Times New Roman" w:hAnsi="Times New Roman"/>
          <w:lang w:val="es-ES"/>
        </w:rPr>
        <w:t>núm</w:t>
      </w:r>
      <w:proofErr w:type="spellEnd"/>
      <w:r w:rsidRPr="00622E12">
        <w:rPr>
          <w:rFonts w:ascii="Times New Roman" w:hAnsi="Times New Roman"/>
          <w:lang w:val="es-ES"/>
        </w:rPr>
        <w:t xml:space="preserve"> 164, 22 </w:t>
      </w:r>
      <w:proofErr w:type="spellStart"/>
      <w:r w:rsidRPr="00622E12">
        <w:rPr>
          <w:rFonts w:ascii="Times New Roman" w:hAnsi="Times New Roman"/>
          <w:lang w:val="es-ES"/>
        </w:rPr>
        <w:t>March</w:t>
      </w:r>
      <w:proofErr w:type="spellEnd"/>
      <w:r w:rsidRPr="00622E12">
        <w:rPr>
          <w:rFonts w:ascii="Times New Roman" w:hAnsi="Times New Roman"/>
          <w:lang w:val="es-ES"/>
        </w:rPr>
        <w:t xml:space="preserve"> 1988, 8998.</w:t>
      </w:r>
    </w:p>
  </w:footnote>
  <w:footnote w:id="87">
    <w:p w:rsidR="00443EDA" w:rsidRPr="00622E12" w:rsidRDefault="00443EDA" w:rsidP="00C2511F">
      <w:pPr>
        <w:pStyle w:val="FootnoteText"/>
        <w:spacing w:after="0"/>
        <w:rPr>
          <w:lang w:val="es-ES"/>
        </w:rPr>
      </w:pPr>
      <w:r>
        <w:rPr>
          <w:rStyle w:val="FootnoteReference"/>
        </w:rPr>
        <w:footnoteRef/>
      </w:r>
      <w:r w:rsidRPr="00622E12">
        <w:rPr>
          <w:lang w:val="es-ES"/>
        </w:rPr>
        <w:t xml:space="preserve"> </w:t>
      </w:r>
      <w:r w:rsidRPr="00622E12">
        <w:rPr>
          <w:rFonts w:ascii="Times New Roman" w:hAnsi="Times New Roman"/>
          <w:i/>
          <w:lang w:val="es-ES"/>
        </w:rPr>
        <w:t>Diario de Sesiones del Congreso de los Diputados</w:t>
      </w:r>
      <w:r w:rsidRPr="00622E12">
        <w:rPr>
          <w:rFonts w:ascii="Times New Roman" w:hAnsi="Times New Roman"/>
          <w:lang w:val="es-ES"/>
        </w:rPr>
        <w:t xml:space="preserve">, </w:t>
      </w:r>
      <w:proofErr w:type="spellStart"/>
      <w:r w:rsidRPr="00622E12">
        <w:rPr>
          <w:rFonts w:ascii="Times New Roman" w:hAnsi="Times New Roman"/>
          <w:lang w:val="es-ES"/>
        </w:rPr>
        <w:t>núm</w:t>
      </w:r>
      <w:proofErr w:type="spellEnd"/>
      <w:r w:rsidRPr="00622E12">
        <w:rPr>
          <w:rFonts w:ascii="Times New Roman" w:hAnsi="Times New Roman"/>
          <w:lang w:val="es-ES"/>
        </w:rPr>
        <w:t xml:space="preserve"> 219, 17 </w:t>
      </w:r>
      <w:proofErr w:type="spellStart"/>
      <w:r w:rsidRPr="00622E12">
        <w:rPr>
          <w:rFonts w:ascii="Times New Roman" w:hAnsi="Times New Roman"/>
          <w:lang w:val="es-ES"/>
        </w:rPr>
        <w:t>February</w:t>
      </w:r>
      <w:proofErr w:type="spellEnd"/>
      <w:r w:rsidRPr="00622E12">
        <w:rPr>
          <w:rFonts w:ascii="Times New Roman" w:hAnsi="Times New Roman"/>
          <w:lang w:val="es-ES"/>
        </w:rPr>
        <w:t xml:space="preserve"> 1988, p 7987.</w:t>
      </w:r>
    </w:p>
  </w:footnote>
  <w:footnote w:id="88">
    <w:p w:rsidR="00443EDA" w:rsidRPr="00622E12" w:rsidRDefault="00443EDA" w:rsidP="00C2511F">
      <w:pPr>
        <w:pStyle w:val="FootnoteText"/>
        <w:spacing w:after="0"/>
        <w:rPr>
          <w:lang w:val="es-ES"/>
        </w:rPr>
      </w:pPr>
      <w:r>
        <w:rPr>
          <w:rStyle w:val="FootnoteReference"/>
        </w:rPr>
        <w:footnoteRef/>
      </w:r>
      <w:r w:rsidRPr="00622E12">
        <w:rPr>
          <w:lang w:val="es-ES"/>
        </w:rPr>
        <w:t xml:space="preserve"> </w:t>
      </w:r>
      <w:proofErr w:type="spellStart"/>
      <w:r w:rsidRPr="00622E12">
        <w:rPr>
          <w:rFonts w:ascii="Times New Roman" w:hAnsi="Times New Roman"/>
          <w:lang w:val="es-ES"/>
        </w:rPr>
        <w:t>Interpelacion</w:t>
      </w:r>
      <w:proofErr w:type="spellEnd"/>
      <w:r w:rsidRPr="00622E12">
        <w:rPr>
          <w:rFonts w:ascii="Times New Roman" w:hAnsi="Times New Roman"/>
          <w:lang w:val="es-ES"/>
        </w:rPr>
        <w:t xml:space="preserve"> urgente del Grupo Parlamentario de Coalición Popular, </w:t>
      </w:r>
      <w:proofErr w:type="spellStart"/>
      <w:r w:rsidRPr="00622E12">
        <w:rPr>
          <w:rFonts w:ascii="Times New Roman" w:hAnsi="Times New Roman"/>
          <w:lang w:val="es-ES"/>
        </w:rPr>
        <w:t>relative</w:t>
      </w:r>
      <w:proofErr w:type="spellEnd"/>
      <w:r w:rsidRPr="00622E12">
        <w:rPr>
          <w:rFonts w:ascii="Times New Roman" w:hAnsi="Times New Roman"/>
          <w:lang w:val="es-ES"/>
        </w:rPr>
        <w:t xml:space="preserve"> a política general del Gobierno sobre la ilegalización de </w:t>
      </w:r>
      <w:proofErr w:type="spellStart"/>
      <w:r w:rsidRPr="00622E12">
        <w:rPr>
          <w:rFonts w:ascii="Times New Roman" w:hAnsi="Times New Roman"/>
          <w:lang w:val="es-ES"/>
        </w:rPr>
        <w:t>Herri</w:t>
      </w:r>
      <w:proofErr w:type="spellEnd"/>
      <w:r w:rsidRPr="00622E12">
        <w:rPr>
          <w:rFonts w:ascii="Times New Roman" w:hAnsi="Times New Roman"/>
          <w:lang w:val="es-ES"/>
        </w:rPr>
        <w:t xml:space="preserve"> Batasuna, </w:t>
      </w:r>
      <w:r w:rsidRPr="00622E12">
        <w:rPr>
          <w:rFonts w:ascii="Times New Roman" w:hAnsi="Times New Roman"/>
          <w:i/>
          <w:lang w:val="es-ES"/>
        </w:rPr>
        <w:t>Boletín Oficial del Estado</w:t>
      </w:r>
      <w:r w:rsidRPr="00622E12">
        <w:rPr>
          <w:rFonts w:ascii="Times New Roman" w:hAnsi="Times New Roman"/>
          <w:lang w:val="es-ES"/>
        </w:rPr>
        <w:t xml:space="preserve">, Serie D, </w:t>
      </w:r>
      <w:proofErr w:type="spellStart"/>
      <w:r w:rsidRPr="00622E12">
        <w:rPr>
          <w:rFonts w:ascii="Times New Roman" w:hAnsi="Times New Roman"/>
          <w:lang w:val="es-ES"/>
        </w:rPr>
        <w:t>núm</w:t>
      </w:r>
      <w:proofErr w:type="spellEnd"/>
      <w:r w:rsidRPr="00622E12">
        <w:rPr>
          <w:rFonts w:ascii="Times New Roman" w:hAnsi="Times New Roman"/>
          <w:lang w:val="es-ES"/>
        </w:rPr>
        <w:t xml:space="preserve"> 164, 22 </w:t>
      </w:r>
      <w:proofErr w:type="spellStart"/>
      <w:r w:rsidRPr="00622E12">
        <w:rPr>
          <w:rFonts w:ascii="Times New Roman" w:hAnsi="Times New Roman"/>
          <w:lang w:val="es-ES"/>
        </w:rPr>
        <w:t>March</w:t>
      </w:r>
      <w:proofErr w:type="spellEnd"/>
      <w:r w:rsidRPr="00622E12">
        <w:rPr>
          <w:rFonts w:ascii="Times New Roman" w:hAnsi="Times New Roman"/>
          <w:lang w:val="es-ES"/>
        </w:rPr>
        <w:t xml:space="preserve"> 1988, 8998.</w:t>
      </w:r>
    </w:p>
  </w:footnote>
  <w:footnote w:id="89">
    <w:p w:rsidR="00443EDA" w:rsidRPr="00622E12" w:rsidRDefault="00443EDA" w:rsidP="00C2511F">
      <w:pPr>
        <w:pStyle w:val="FootnoteText"/>
        <w:spacing w:after="0"/>
        <w:rPr>
          <w:lang w:val="es-ES"/>
        </w:rPr>
      </w:pPr>
      <w:r>
        <w:rPr>
          <w:rStyle w:val="FootnoteReference"/>
        </w:rPr>
        <w:footnoteRef/>
      </w:r>
      <w:r w:rsidRPr="00622E12">
        <w:rPr>
          <w:lang w:val="es-ES"/>
        </w:rPr>
        <w:t xml:space="preserve"> </w:t>
      </w:r>
      <w:r w:rsidRPr="00622E12">
        <w:rPr>
          <w:rFonts w:ascii="Times New Roman" w:hAnsi="Times New Roman"/>
          <w:i/>
          <w:lang w:val="es-ES"/>
        </w:rPr>
        <w:t>Diario de Sesiones del Congreso</w:t>
      </w:r>
      <w:r w:rsidRPr="00622E12">
        <w:rPr>
          <w:rFonts w:ascii="Times New Roman" w:hAnsi="Times New Roman"/>
          <w:lang w:val="es-ES"/>
        </w:rPr>
        <w:t xml:space="preserve"> </w:t>
      </w:r>
      <w:r w:rsidRPr="00622E12">
        <w:rPr>
          <w:rFonts w:ascii="Times New Roman" w:hAnsi="Times New Roman"/>
          <w:i/>
          <w:lang w:val="es-ES"/>
        </w:rPr>
        <w:t>de los Diputados</w:t>
      </w:r>
      <w:r w:rsidRPr="00622E12">
        <w:rPr>
          <w:rFonts w:ascii="Times New Roman" w:hAnsi="Times New Roman"/>
          <w:lang w:val="es-ES"/>
        </w:rPr>
        <w:t xml:space="preserve">, </w:t>
      </w:r>
      <w:proofErr w:type="spellStart"/>
      <w:r w:rsidRPr="00622E12">
        <w:rPr>
          <w:rFonts w:ascii="Times New Roman" w:hAnsi="Times New Roman"/>
          <w:lang w:val="es-ES"/>
        </w:rPr>
        <w:t>núm</w:t>
      </w:r>
      <w:proofErr w:type="spellEnd"/>
      <w:r w:rsidRPr="00622E12">
        <w:rPr>
          <w:rFonts w:ascii="Times New Roman" w:hAnsi="Times New Roman"/>
          <w:lang w:val="es-ES"/>
        </w:rPr>
        <w:t xml:space="preserve"> 94, 16 </w:t>
      </w:r>
      <w:proofErr w:type="spellStart"/>
      <w:r w:rsidRPr="00622E12">
        <w:rPr>
          <w:rFonts w:ascii="Times New Roman" w:hAnsi="Times New Roman"/>
          <w:lang w:val="es-ES"/>
        </w:rPr>
        <w:t>March</w:t>
      </w:r>
      <w:proofErr w:type="spellEnd"/>
      <w:r w:rsidRPr="00622E12">
        <w:rPr>
          <w:rFonts w:ascii="Times New Roman" w:hAnsi="Times New Roman"/>
          <w:lang w:val="es-ES"/>
        </w:rPr>
        <w:t xml:space="preserve"> 1988, p. 5934. </w:t>
      </w:r>
    </w:p>
  </w:footnote>
  <w:footnote w:id="90">
    <w:p w:rsidR="00443EDA" w:rsidRPr="00622E12" w:rsidRDefault="00443EDA" w:rsidP="00C2511F">
      <w:pPr>
        <w:pStyle w:val="FootnoteText"/>
        <w:rPr>
          <w:lang w:val="es-ES"/>
        </w:rPr>
      </w:pPr>
      <w:r>
        <w:rPr>
          <w:rStyle w:val="FootnoteReference"/>
        </w:rPr>
        <w:footnoteRef/>
      </w:r>
      <w:r w:rsidRPr="00622E12">
        <w:rPr>
          <w:lang w:val="es-ES"/>
        </w:rPr>
        <w:t xml:space="preserve"> </w:t>
      </w:r>
      <w:r w:rsidRPr="00622E12">
        <w:rPr>
          <w:rFonts w:ascii="Times New Roman" w:hAnsi="Times New Roman"/>
          <w:i/>
          <w:lang w:val="es-ES"/>
        </w:rPr>
        <w:t>Diario de Sesiones del Congreso</w:t>
      </w:r>
      <w:r w:rsidRPr="00622E12">
        <w:rPr>
          <w:rFonts w:ascii="Times New Roman" w:hAnsi="Times New Roman"/>
          <w:lang w:val="es-ES"/>
        </w:rPr>
        <w:t xml:space="preserve"> </w:t>
      </w:r>
      <w:r w:rsidRPr="00622E12">
        <w:rPr>
          <w:rFonts w:ascii="Times New Roman" w:hAnsi="Times New Roman"/>
          <w:i/>
          <w:lang w:val="es-ES"/>
        </w:rPr>
        <w:t>de los Diputados</w:t>
      </w:r>
      <w:r w:rsidRPr="00622E12">
        <w:rPr>
          <w:rFonts w:ascii="Times New Roman" w:hAnsi="Times New Roman"/>
          <w:lang w:val="es-ES"/>
        </w:rPr>
        <w:t xml:space="preserve">, </w:t>
      </w:r>
      <w:proofErr w:type="spellStart"/>
      <w:r w:rsidRPr="00622E12">
        <w:rPr>
          <w:rFonts w:ascii="Times New Roman" w:hAnsi="Times New Roman"/>
          <w:lang w:val="es-ES"/>
        </w:rPr>
        <w:t>núm</w:t>
      </w:r>
      <w:proofErr w:type="spellEnd"/>
      <w:r w:rsidRPr="00622E12">
        <w:rPr>
          <w:rFonts w:ascii="Times New Roman" w:hAnsi="Times New Roman"/>
          <w:lang w:val="es-ES"/>
        </w:rPr>
        <w:t xml:space="preserve"> 94, 16 </w:t>
      </w:r>
      <w:proofErr w:type="spellStart"/>
      <w:r w:rsidRPr="00622E12">
        <w:rPr>
          <w:rFonts w:ascii="Times New Roman" w:hAnsi="Times New Roman"/>
          <w:lang w:val="es-ES"/>
        </w:rPr>
        <w:t>March</w:t>
      </w:r>
      <w:proofErr w:type="spellEnd"/>
      <w:r w:rsidRPr="00622E12">
        <w:rPr>
          <w:rFonts w:ascii="Times New Roman" w:hAnsi="Times New Roman"/>
          <w:lang w:val="es-ES"/>
        </w:rPr>
        <w:t xml:space="preserve"> 1988, p. 5935.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C1C0C"/>
    <w:multiLevelType w:val="hybridMultilevel"/>
    <w:tmpl w:val="557CF8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24EA6194"/>
    <w:multiLevelType w:val="hybridMultilevel"/>
    <w:tmpl w:val="402E90EC"/>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
    <w:nsid w:val="38C40343"/>
    <w:multiLevelType w:val="hybridMultilevel"/>
    <w:tmpl w:val="A59243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EC6703E"/>
    <w:multiLevelType w:val="hybridMultilevel"/>
    <w:tmpl w:val="F68E5656"/>
    <w:lvl w:ilvl="0" w:tplc="355084B4">
      <w:start w:val="1"/>
      <w:numFmt w:val="bullet"/>
      <w:lvlText w:val=""/>
      <w:lvlJc w:val="left"/>
      <w:pPr>
        <w:tabs>
          <w:tab w:val="num" w:pos="1080"/>
        </w:tabs>
        <w:ind w:left="1080" w:hanging="360"/>
      </w:pPr>
      <w:rPr>
        <w:rFonts w:ascii="Symbol" w:hAnsi="Symbol" w:hint="default"/>
        <w:sz w:val="24"/>
      </w:rPr>
    </w:lvl>
    <w:lvl w:ilvl="1" w:tplc="08090003">
      <w:start w:val="1"/>
      <w:numFmt w:val="bullet"/>
      <w:lvlText w:val="o"/>
      <w:lvlJc w:val="left"/>
      <w:pPr>
        <w:tabs>
          <w:tab w:val="num" w:pos="1800"/>
        </w:tabs>
        <w:ind w:left="1800" w:hanging="360"/>
      </w:pPr>
      <w:rPr>
        <w:rFonts w:ascii="Courier New" w:hAnsi="Courier New" w:hint="default"/>
      </w:rPr>
    </w:lvl>
    <w:lvl w:ilvl="2" w:tplc="355084B4">
      <w:start w:val="1"/>
      <w:numFmt w:val="bullet"/>
      <w:lvlText w:val=""/>
      <w:lvlJc w:val="left"/>
      <w:pPr>
        <w:tabs>
          <w:tab w:val="num" w:pos="2520"/>
        </w:tabs>
        <w:ind w:left="2520" w:hanging="360"/>
      </w:pPr>
      <w:rPr>
        <w:rFonts w:ascii="Symbol" w:hAnsi="Symbol" w:hint="default"/>
        <w:sz w:val="24"/>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nsid w:val="7CA0503F"/>
    <w:multiLevelType w:val="hybridMultilevel"/>
    <w:tmpl w:val="66A07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C2C"/>
    <w:rsid w:val="00013508"/>
    <w:rsid w:val="000135F3"/>
    <w:rsid w:val="00013600"/>
    <w:rsid w:val="000150B2"/>
    <w:rsid w:val="00033297"/>
    <w:rsid w:val="00033CC3"/>
    <w:rsid w:val="00040C14"/>
    <w:rsid w:val="000475C4"/>
    <w:rsid w:val="0005384E"/>
    <w:rsid w:val="00061A57"/>
    <w:rsid w:val="000659CB"/>
    <w:rsid w:val="00081E2D"/>
    <w:rsid w:val="00090991"/>
    <w:rsid w:val="000A0550"/>
    <w:rsid w:val="000A3017"/>
    <w:rsid w:val="000A6A75"/>
    <w:rsid w:val="000B3256"/>
    <w:rsid w:val="000C61D9"/>
    <w:rsid w:val="000F02C2"/>
    <w:rsid w:val="001012A0"/>
    <w:rsid w:val="001120E1"/>
    <w:rsid w:val="00121999"/>
    <w:rsid w:val="00124B89"/>
    <w:rsid w:val="00126C5F"/>
    <w:rsid w:val="00135300"/>
    <w:rsid w:val="00137DDB"/>
    <w:rsid w:val="0014067F"/>
    <w:rsid w:val="001418EE"/>
    <w:rsid w:val="00146D1B"/>
    <w:rsid w:val="0017664D"/>
    <w:rsid w:val="0017780F"/>
    <w:rsid w:val="00184158"/>
    <w:rsid w:val="00187B79"/>
    <w:rsid w:val="001923D8"/>
    <w:rsid w:val="00193471"/>
    <w:rsid w:val="001A0FC7"/>
    <w:rsid w:val="001A1D92"/>
    <w:rsid w:val="001A56D3"/>
    <w:rsid w:val="001C0BF6"/>
    <w:rsid w:val="001D1A4E"/>
    <w:rsid w:val="001D2E89"/>
    <w:rsid w:val="001E1CAD"/>
    <w:rsid w:val="001E6F0E"/>
    <w:rsid w:val="001E6F13"/>
    <w:rsid w:val="001F0B02"/>
    <w:rsid w:val="001F51F6"/>
    <w:rsid w:val="001F5278"/>
    <w:rsid w:val="001F6E68"/>
    <w:rsid w:val="001F7DC5"/>
    <w:rsid w:val="0020518D"/>
    <w:rsid w:val="00213E36"/>
    <w:rsid w:val="0021746F"/>
    <w:rsid w:val="00220B36"/>
    <w:rsid w:val="00227B3D"/>
    <w:rsid w:val="002323CA"/>
    <w:rsid w:val="00235026"/>
    <w:rsid w:val="00236B4B"/>
    <w:rsid w:val="002447B6"/>
    <w:rsid w:val="00245B89"/>
    <w:rsid w:val="00256436"/>
    <w:rsid w:val="00264043"/>
    <w:rsid w:val="00265976"/>
    <w:rsid w:val="00270735"/>
    <w:rsid w:val="00272A6D"/>
    <w:rsid w:val="00276C8D"/>
    <w:rsid w:val="00284346"/>
    <w:rsid w:val="002A6577"/>
    <w:rsid w:val="002B11F9"/>
    <w:rsid w:val="002C1D57"/>
    <w:rsid w:val="002C2019"/>
    <w:rsid w:val="002D36A2"/>
    <w:rsid w:val="002D713F"/>
    <w:rsid w:val="002E2F52"/>
    <w:rsid w:val="002F0821"/>
    <w:rsid w:val="002F15FE"/>
    <w:rsid w:val="00301953"/>
    <w:rsid w:val="00307629"/>
    <w:rsid w:val="003123AE"/>
    <w:rsid w:val="0031718B"/>
    <w:rsid w:val="003213F8"/>
    <w:rsid w:val="0032796D"/>
    <w:rsid w:val="00341EBD"/>
    <w:rsid w:val="0034249E"/>
    <w:rsid w:val="003437DC"/>
    <w:rsid w:val="00351140"/>
    <w:rsid w:val="00351305"/>
    <w:rsid w:val="00356B93"/>
    <w:rsid w:val="00362397"/>
    <w:rsid w:val="00362D29"/>
    <w:rsid w:val="0037705B"/>
    <w:rsid w:val="00382014"/>
    <w:rsid w:val="00386C2C"/>
    <w:rsid w:val="00393644"/>
    <w:rsid w:val="00397095"/>
    <w:rsid w:val="003974BF"/>
    <w:rsid w:val="003A0DD2"/>
    <w:rsid w:val="003A3262"/>
    <w:rsid w:val="003B06BC"/>
    <w:rsid w:val="003B1559"/>
    <w:rsid w:val="003D63CA"/>
    <w:rsid w:val="003D79A2"/>
    <w:rsid w:val="003E0325"/>
    <w:rsid w:val="003E38F2"/>
    <w:rsid w:val="00413DEC"/>
    <w:rsid w:val="00416623"/>
    <w:rsid w:val="00427815"/>
    <w:rsid w:val="00431260"/>
    <w:rsid w:val="00436E2F"/>
    <w:rsid w:val="00443EDA"/>
    <w:rsid w:val="0045541F"/>
    <w:rsid w:val="00463A6C"/>
    <w:rsid w:val="00471253"/>
    <w:rsid w:val="00472C6E"/>
    <w:rsid w:val="00483B3C"/>
    <w:rsid w:val="00484DB3"/>
    <w:rsid w:val="004A22B0"/>
    <w:rsid w:val="004C79BA"/>
    <w:rsid w:val="004D163A"/>
    <w:rsid w:val="004D3E84"/>
    <w:rsid w:val="004D53CC"/>
    <w:rsid w:val="004E0206"/>
    <w:rsid w:val="004E531E"/>
    <w:rsid w:val="004F656E"/>
    <w:rsid w:val="00503663"/>
    <w:rsid w:val="005129B0"/>
    <w:rsid w:val="00515399"/>
    <w:rsid w:val="00515894"/>
    <w:rsid w:val="00524D08"/>
    <w:rsid w:val="00532F99"/>
    <w:rsid w:val="0054673F"/>
    <w:rsid w:val="00557034"/>
    <w:rsid w:val="00562633"/>
    <w:rsid w:val="00565C9C"/>
    <w:rsid w:val="00572502"/>
    <w:rsid w:val="0057495A"/>
    <w:rsid w:val="00575B73"/>
    <w:rsid w:val="005855C9"/>
    <w:rsid w:val="00591BB1"/>
    <w:rsid w:val="005A6F70"/>
    <w:rsid w:val="005B399B"/>
    <w:rsid w:val="005D6512"/>
    <w:rsid w:val="005D7AEC"/>
    <w:rsid w:val="005E280B"/>
    <w:rsid w:val="005E436B"/>
    <w:rsid w:val="005F6D08"/>
    <w:rsid w:val="00601192"/>
    <w:rsid w:val="00606079"/>
    <w:rsid w:val="00606D53"/>
    <w:rsid w:val="006154EC"/>
    <w:rsid w:val="00622E12"/>
    <w:rsid w:val="00626B2F"/>
    <w:rsid w:val="00630734"/>
    <w:rsid w:val="006317A3"/>
    <w:rsid w:val="006346B1"/>
    <w:rsid w:val="00636B90"/>
    <w:rsid w:val="00637849"/>
    <w:rsid w:val="00641EBB"/>
    <w:rsid w:val="00653793"/>
    <w:rsid w:val="00670CB9"/>
    <w:rsid w:val="006908B1"/>
    <w:rsid w:val="006935C4"/>
    <w:rsid w:val="006B1996"/>
    <w:rsid w:val="006C6610"/>
    <w:rsid w:val="006D3EA4"/>
    <w:rsid w:val="006D47BA"/>
    <w:rsid w:val="006D6F75"/>
    <w:rsid w:val="006E74E4"/>
    <w:rsid w:val="006F15E0"/>
    <w:rsid w:val="006F2C26"/>
    <w:rsid w:val="006F752C"/>
    <w:rsid w:val="0070017F"/>
    <w:rsid w:val="00714228"/>
    <w:rsid w:val="00715743"/>
    <w:rsid w:val="00724697"/>
    <w:rsid w:val="00724816"/>
    <w:rsid w:val="00726968"/>
    <w:rsid w:val="007314EE"/>
    <w:rsid w:val="00734EC7"/>
    <w:rsid w:val="00740C07"/>
    <w:rsid w:val="00742262"/>
    <w:rsid w:val="00757EB3"/>
    <w:rsid w:val="007649B7"/>
    <w:rsid w:val="00765C17"/>
    <w:rsid w:val="00771499"/>
    <w:rsid w:val="0077155F"/>
    <w:rsid w:val="007902C8"/>
    <w:rsid w:val="00791E3B"/>
    <w:rsid w:val="00792873"/>
    <w:rsid w:val="007952E6"/>
    <w:rsid w:val="007A4EA9"/>
    <w:rsid w:val="007A74FD"/>
    <w:rsid w:val="007A7FA0"/>
    <w:rsid w:val="007B13A6"/>
    <w:rsid w:val="007B2A1D"/>
    <w:rsid w:val="007C40CC"/>
    <w:rsid w:val="007C7220"/>
    <w:rsid w:val="007D08CF"/>
    <w:rsid w:val="007E0CBB"/>
    <w:rsid w:val="007E2E91"/>
    <w:rsid w:val="007F0AFA"/>
    <w:rsid w:val="007F0CBA"/>
    <w:rsid w:val="007F2B6A"/>
    <w:rsid w:val="007F630D"/>
    <w:rsid w:val="00811354"/>
    <w:rsid w:val="008160D6"/>
    <w:rsid w:val="0081744A"/>
    <w:rsid w:val="00824F19"/>
    <w:rsid w:val="00827134"/>
    <w:rsid w:val="00831FC3"/>
    <w:rsid w:val="00840BB0"/>
    <w:rsid w:val="00846D7C"/>
    <w:rsid w:val="00847640"/>
    <w:rsid w:val="00847DBA"/>
    <w:rsid w:val="00851C68"/>
    <w:rsid w:val="00852586"/>
    <w:rsid w:val="00855D08"/>
    <w:rsid w:val="00860340"/>
    <w:rsid w:val="008639E9"/>
    <w:rsid w:val="0088024E"/>
    <w:rsid w:val="008829BA"/>
    <w:rsid w:val="00886BCB"/>
    <w:rsid w:val="008974D6"/>
    <w:rsid w:val="008B2984"/>
    <w:rsid w:val="008B5511"/>
    <w:rsid w:val="008C4E36"/>
    <w:rsid w:val="008F12F0"/>
    <w:rsid w:val="008F7A88"/>
    <w:rsid w:val="009009B1"/>
    <w:rsid w:val="00916035"/>
    <w:rsid w:val="00930D40"/>
    <w:rsid w:val="00932915"/>
    <w:rsid w:val="009375DB"/>
    <w:rsid w:val="00941209"/>
    <w:rsid w:val="00941502"/>
    <w:rsid w:val="00944D4B"/>
    <w:rsid w:val="00947341"/>
    <w:rsid w:val="00955447"/>
    <w:rsid w:val="00960995"/>
    <w:rsid w:val="00970AC3"/>
    <w:rsid w:val="00973F26"/>
    <w:rsid w:val="0097644F"/>
    <w:rsid w:val="009A17AB"/>
    <w:rsid w:val="009A69C5"/>
    <w:rsid w:val="009B663A"/>
    <w:rsid w:val="009C4F4A"/>
    <w:rsid w:val="009C5E76"/>
    <w:rsid w:val="009D4DD9"/>
    <w:rsid w:val="009E40B2"/>
    <w:rsid w:val="00A05FE8"/>
    <w:rsid w:val="00A06BED"/>
    <w:rsid w:val="00A23F5D"/>
    <w:rsid w:val="00A2424C"/>
    <w:rsid w:val="00A27680"/>
    <w:rsid w:val="00A3326F"/>
    <w:rsid w:val="00A40D49"/>
    <w:rsid w:val="00A45328"/>
    <w:rsid w:val="00A52A05"/>
    <w:rsid w:val="00A56438"/>
    <w:rsid w:val="00A7344D"/>
    <w:rsid w:val="00A83EDD"/>
    <w:rsid w:val="00A86AC6"/>
    <w:rsid w:val="00AA2CA2"/>
    <w:rsid w:val="00AA5CAD"/>
    <w:rsid w:val="00AB1306"/>
    <w:rsid w:val="00AB76B4"/>
    <w:rsid w:val="00AB7AE8"/>
    <w:rsid w:val="00AC5A4A"/>
    <w:rsid w:val="00AC6230"/>
    <w:rsid w:val="00AC687A"/>
    <w:rsid w:val="00AD34CD"/>
    <w:rsid w:val="00AD5118"/>
    <w:rsid w:val="00AD6DC0"/>
    <w:rsid w:val="00AF2241"/>
    <w:rsid w:val="00AF40D2"/>
    <w:rsid w:val="00AF7898"/>
    <w:rsid w:val="00B0617D"/>
    <w:rsid w:val="00B06C38"/>
    <w:rsid w:val="00B25922"/>
    <w:rsid w:val="00B3456D"/>
    <w:rsid w:val="00B50631"/>
    <w:rsid w:val="00B50819"/>
    <w:rsid w:val="00B559A2"/>
    <w:rsid w:val="00B75736"/>
    <w:rsid w:val="00B80270"/>
    <w:rsid w:val="00B84156"/>
    <w:rsid w:val="00B8506C"/>
    <w:rsid w:val="00B85892"/>
    <w:rsid w:val="00B90D67"/>
    <w:rsid w:val="00B93F8C"/>
    <w:rsid w:val="00BA66CD"/>
    <w:rsid w:val="00BB183A"/>
    <w:rsid w:val="00BB1E85"/>
    <w:rsid w:val="00BB2D66"/>
    <w:rsid w:val="00BB5C15"/>
    <w:rsid w:val="00BB5E95"/>
    <w:rsid w:val="00C031E1"/>
    <w:rsid w:val="00C0421B"/>
    <w:rsid w:val="00C071BF"/>
    <w:rsid w:val="00C11782"/>
    <w:rsid w:val="00C152A5"/>
    <w:rsid w:val="00C16504"/>
    <w:rsid w:val="00C2511F"/>
    <w:rsid w:val="00C31B53"/>
    <w:rsid w:val="00C36312"/>
    <w:rsid w:val="00C4039E"/>
    <w:rsid w:val="00C41FDA"/>
    <w:rsid w:val="00C42698"/>
    <w:rsid w:val="00C43569"/>
    <w:rsid w:val="00C52D8C"/>
    <w:rsid w:val="00C55044"/>
    <w:rsid w:val="00C60AC1"/>
    <w:rsid w:val="00C60B74"/>
    <w:rsid w:val="00C623AC"/>
    <w:rsid w:val="00C62A2D"/>
    <w:rsid w:val="00C64471"/>
    <w:rsid w:val="00C67CBC"/>
    <w:rsid w:val="00C70B67"/>
    <w:rsid w:val="00C833D8"/>
    <w:rsid w:val="00C857A1"/>
    <w:rsid w:val="00C91330"/>
    <w:rsid w:val="00C92C09"/>
    <w:rsid w:val="00C95DEB"/>
    <w:rsid w:val="00CA2B09"/>
    <w:rsid w:val="00CA41C2"/>
    <w:rsid w:val="00CA5A72"/>
    <w:rsid w:val="00CA7AF3"/>
    <w:rsid w:val="00CB14CF"/>
    <w:rsid w:val="00CC14AA"/>
    <w:rsid w:val="00D02C9B"/>
    <w:rsid w:val="00D053FE"/>
    <w:rsid w:val="00D11B40"/>
    <w:rsid w:val="00D1239B"/>
    <w:rsid w:val="00D16E70"/>
    <w:rsid w:val="00D23B78"/>
    <w:rsid w:val="00D3795A"/>
    <w:rsid w:val="00D416F6"/>
    <w:rsid w:val="00D43573"/>
    <w:rsid w:val="00D56589"/>
    <w:rsid w:val="00DA53B0"/>
    <w:rsid w:val="00DA6290"/>
    <w:rsid w:val="00DC6CA1"/>
    <w:rsid w:val="00DD4BC7"/>
    <w:rsid w:val="00DD4FEF"/>
    <w:rsid w:val="00DE1607"/>
    <w:rsid w:val="00E01291"/>
    <w:rsid w:val="00E018DA"/>
    <w:rsid w:val="00E054B9"/>
    <w:rsid w:val="00E07DC6"/>
    <w:rsid w:val="00E11BFE"/>
    <w:rsid w:val="00E13318"/>
    <w:rsid w:val="00E36A7D"/>
    <w:rsid w:val="00E37907"/>
    <w:rsid w:val="00E44F1E"/>
    <w:rsid w:val="00E63B56"/>
    <w:rsid w:val="00E64598"/>
    <w:rsid w:val="00E72A5F"/>
    <w:rsid w:val="00E80E9F"/>
    <w:rsid w:val="00E86310"/>
    <w:rsid w:val="00EA410F"/>
    <w:rsid w:val="00EB6D51"/>
    <w:rsid w:val="00EC70A1"/>
    <w:rsid w:val="00ED31A0"/>
    <w:rsid w:val="00EE0FB3"/>
    <w:rsid w:val="00EE471A"/>
    <w:rsid w:val="00EF47AC"/>
    <w:rsid w:val="00F31E5C"/>
    <w:rsid w:val="00F430C5"/>
    <w:rsid w:val="00F52EB9"/>
    <w:rsid w:val="00F63201"/>
    <w:rsid w:val="00F63736"/>
    <w:rsid w:val="00F64E9F"/>
    <w:rsid w:val="00F65FA6"/>
    <w:rsid w:val="00F66FE1"/>
    <w:rsid w:val="00F73609"/>
    <w:rsid w:val="00F808D8"/>
    <w:rsid w:val="00F8277A"/>
    <w:rsid w:val="00F92411"/>
    <w:rsid w:val="00F96851"/>
    <w:rsid w:val="00FA0E5F"/>
    <w:rsid w:val="00FA62D0"/>
    <w:rsid w:val="00FA65BA"/>
    <w:rsid w:val="00FB0E1A"/>
    <w:rsid w:val="00FC1826"/>
    <w:rsid w:val="00FD14D9"/>
    <w:rsid w:val="00FD59BD"/>
    <w:rsid w:val="00FD7BC1"/>
    <w:rsid w:val="00FE2DE9"/>
    <w:rsid w:val="00FE3BED"/>
    <w:rsid w:val="00FE42E2"/>
    <w:rsid w:val="00FE60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endnote reference" w:uiPriority="0"/>
    <w:lsdException w:name="endnote text"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995"/>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537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53793"/>
    <w:rPr>
      <w:rFonts w:ascii="Tahoma" w:hAnsi="Tahoma" w:cs="Tahoma"/>
      <w:sz w:val="16"/>
      <w:szCs w:val="16"/>
    </w:rPr>
  </w:style>
  <w:style w:type="paragraph" w:styleId="ListParagraph">
    <w:name w:val="List Paragraph"/>
    <w:basedOn w:val="Normal"/>
    <w:uiPriority w:val="99"/>
    <w:qFormat/>
    <w:rsid w:val="002E2F52"/>
    <w:pPr>
      <w:ind w:left="720"/>
      <w:contextualSpacing/>
    </w:pPr>
  </w:style>
  <w:style w:type="character" w:styleId="CommentReference">
    <w:name w:val="annotation reference"/>
    <w:basedOn w:val="DefaultParagraphFont"/>
    <w:uiPriority w:val="99"/>
    <w:semiHidden/>
    <w:rsid w:val="00B0617D"/>
    <w:rPr>
      <w:rFonts w:cs="Times New Roman"/>
      <w:sz w:val="16"/>
      <w:szCs w:val="16"/>
    </w:rPr>
  </w:style>
  <w:style w:type="paragraph" w:styleId="CommentText">
    <w:name w:val="annotation text"/>
    <w:basedOn w:val="Normal"/>
    <w:link w:val="CommentTextChar"/>
    <w:uiPriority w:val="99"/>
    <w:semiHidden/>
    <w:rsid w:val="00B0617D"/>
    <w:pPr>
      <w:spacing w:line="240" w:lineRule="auto"/>
    </w:pPr>
    <w:rPr>
      <w:sz w:val="20"/>
      <w:szCs w:val="20"/>
    </w:rPr>
  </w:style>
  <w:style w:type="character" w:customStyle="1" w:styleId="CommentTextChar">
    <w:name w:val="Comment Text Char"/>
    <w:basedOn w:val="DefaultParagraphFont"/>
    <w:link w:val="CommentText"/>
    <w:uiPriority w:val="99"/>
    <w:semiHidden/>
    <w:locked/>
    <w:rsid w:val="00B0617D"/>
    <w:rPr>
      <w:rFonts w:cs="Times New Roman"/>
      <w:sz w:val="20"/>
      <w:szCs w:val="20"/>
    </w:rPr>
  </w:style>
  <w:style w:type="paragraph" w:styleId="EndnoteText">
    <w:name w:val="endnote text"/>
    <w:basedOn w:val="Normal"/>
    <w:link w:val="EndnoteTextChar"/>
    <w:semiHidden/>
    <w:rsid w:val="00B0617D"/>
    <w:pPr>
      <w:spacing w:after="0" w:line="240" w:lineRule="auto"/>
    </w:pPr>
    <w:rPr>
      <w:sz w:val="20"/>
      <w:szCs w:val="20"/>
    </w:rPr>
  </w:style>
  <w:style w:type="character" w:customStyle="1" w:styleId="EndnoteTextChar">
    <w:name w:val="Endnote Text Char"/>
    <w:basedOn w:val="DefaultParagraphFont"/>
    <w:link w:val="EndnoteText"/>
    <w:semiHidden/>
    <w:locked/>
    <w:rsid w:val="00B0617D"/>
    <w:rPr>
      <w:rFonts w:cs="Times New Roman"/>
      <w:sz w:val="20"/>
      <w:szCs w:val="20"/>
    </w:rPr>
  </w:style>
  <w:style w:type="character" w:styleId="EndnoteReference">
    <w:name w:val="endnote reference"/>
    <w:basedOn w:val="DefaultParagraphFont"/>
    <w:semiHidden/>
    <w:rsid w:val="00B0617D"/>
    <w:rPr>
      <w:rFonts w:cs="Times New Roman"/>
      <w:vertAlign w:val="superscript"/>
    </w:rPr>
  </w:style>
  <w:style w:type="paragraph" w:styleId="CommentSubject">
    <w:name w:val="annotation subject"/>
    <w:basedOn w:val="CommentText"/>
    <w:next w:val="CommentText"/>
    <w:link w:val="CommentSubjectChar"/>
    <w:uiPriority w:val="99"/>
    <w:semiHidden/>
    <w:rsid w:val="00C70B67"/>
    <w:rPr>
      <w:b/>
      <w:bCs/>
    </w:rPr>
  </w:style>
  <w:style w:type="character" w:customStyle="1" w:styleId="CommentSubjectChar">
    <w:name w:val="Comment Subject Char"/>
    <w:basedOn w:val="CommentTextChar"/>
    <w:link w:val="CommentSubject"/>
    <w:uiPriority w:val="99"/>
    <w:semiHidden/>
    <w:locked/>
    <w:rsid w:val="00C70B67"/>
    <w:rPr>
      <w:rFonts w:cs="Times New Roman"/>
      <w:b/>
      <w:bCs/>
      <w:sz w:val="20"/>
      <w:szCs w:val="20"/>
    </w:rPr>
  </w:style>
  <w:style w:type="character" w:customStyle="1" w:styleId="FootnoteTextChar">
    <w:name w:val="Footnote Text Char"/>
    <w:uiPriority w:val="99"/>
    <w:semiHidden/>
    <w:locked/>
    <w:rsid w:val="007E2E91"/>
    <w:rPr>
      <w:rFonts w:ascii="Calibri" w:hAnsi="Calibri"/>
      <w:lang w:val="en-GB" w:eastAsia="en-US"/>
    </w:rPr>
  </w:style>
  <w:style w:type="paragraph" w:styleId="FootnoteText">
    <w:name w:val="footnote text"/>
    <w:basedOn w:val="Normal"/>
    <w:link w:val="FootnoteTextChar1"/>
    <w:uiPriority w:val="99"/>
    <w:semiHidden/>
    <w:rsid w:val="007E2E91"/>
    <w:rPr>
      <w:sz w:val="20"/>
      <w:szCs w:val="20"/>
    </w:rPr>
  </w:style>
  <w:style w:type="character" w:customStyle="1" w:styleId="FootnoteTextChar1">
    <w:name w:val="Footnote Text Char1"/>
    <w:basedOn w:val="DefaultParagraphFont"/>
    <w:link w:val="FootnoteText"/>
    <w:uiPriority w:val="99"/>
    <w:semiHidden/>
    <w:locked/>
    <w:rsid w:val="00FB0E1A"/>
    <w:rPr>
      <w:rFonts w:cs="Times New Roman"/>
      <w:sz w:val="20"/>
      <w:szCs w:val="20"/>
      <w:lang w:eastAsia="en-US"/>
    </w:rPr>
  </w:style>
  <w:style w:type="character" w:styleId="FootnoteReference">
    <w:name w:val="footnote reference"/>
    <w:basedOn w:val="DefaultParagraphFont"/>
    <w:uiPriority w:val="99"/>
    <w:semiHidden/>
    <w:rsid w:val="007E2E91"/>
    <w:rPr>
      <w:rFonts w:ascii="Times New Roman" w:hAnsi="Times New Roman" w:cs="Times New Roman"/>
      <w:vertAlign w:val="superscript"/>
    </w:rPr>
  </w:style>
  <w:style w:type="paragraph" w:styleId="NormalWeb">
    <w:name w:val="Normal (Web)"/>
    <w:basedOn w:val="Normal"/>
    <w:uiPriority w:val="99"/>
    <w:rsid w:val="00DE1607"/>
    <w:pPr>
      <w:spacing w:before="100" w:beforeAutospacing="1" w:after="100" w:afterAutospacing="1" w:line="240" w:lineRule="auto"/>
    </w:pPr>
    <w:rPr>
      <w:rFonts w:ascii="Times New Roman" w:hAnsi="Times New Roman"/>
      <w:sz w:val="24"/>
      <w:szCs w:val="24"/>
      <w:lang w:eastAsia="en-GB"/>
    </w:rPr>
  </w:style>
  <w:style w:type="character" w:customStyle="1" w:styleId="normal--char">
    <w:name w:val="normal--char"/>
    <w:basedOn w:val="DefaultParagraphFont"/>
    <w:uiPriority w:val="99"/>
    <w:rsid w:val="00E72A5F"/>
    <w:rPr>
      <w:rFonts w:cs="Times New Roman"/>
    </w:rPr>
  </w:style>
  <w:style w:type="character" w:styleId="Hyperlink">
    <w:name w:val="Hyperlink"/>
    <w:basedOn w:val="DefaultParagraphFont"/>
    <w:uiPriority w:val="99"/>
    <w:rsid w:val="003D79A2"/>
    <w:rPr>
      <w:rFonts w:cs="Times New Roman"/>
      <w:color w:val="0000FF"/>
      <w:u w:val="single"/>
    </w:rPr>
  </w:style>
  <w:style w:type="paragraph" w:styleId="BodyTextIndent2">
    <w:name w:val="Body Text Indent 2"/>
    <w:basedOn w:val="Normal"/>
    <w:link w:val="BodyTextIndent2Char"/>
    <w:uiPriority w:val="99"/>
    <w:rsid w:val="00FA65BA"/>
    <w:pPr>
      <w:spacing w:after="0" w:line="240" w:lineRule="auto"/>
      <w:ind w:firstLine="540"/>
      <w:jc w:val="both"/>
    </w:pPr>
    <w:rPr>
      <w:rFonts w:ascii="Arial" w:eastAsia="Times New Roman" w:hAnsi="Arial" w:cs="Arial"/>
      <w:b/>
      <w:bCs/>
      <w:sz w:val="24"/>
      <w:szCs w:val="24"/>
      <w:lang w:val="es-ES" w:eastAsia="es-ES"/>
    </w:rPr>
  </w:style>
  <w:style w:type="character" w:customStyle="1" w:styleId="BodyTextIndent2Char">
    <w:name w:val="Body Text Indent 2 Char"/>
    <w:basedOn w:val="DefaultParagraphFont"/>
    <w:link w:val="BodyTextIndent2"/>
    <w:uiPriority w:val="99"/>
    <w:locked/>
    <w:rsid w:val="00FA65BA"/>
    <w:rPr>
      <w:rFonts w:ascii="Arial" w:hAnsi="Arial" w:cs="Arial"/>
      <w:b/>
      <w:bCs/>
      <w:sz w:val="24"/>
      <w:szCs w:val="24"/>
      <w:lang w:val="es-ES" w:eastAsia="es-ES"/>
    </w:rPr>
  </w:style>
  <w:style w:type="character" w:styleId="HTMLCite">
    <w:name w:val="HTML Cite"/>
    <w:basedOn w:val="DefaultParagraphFont"/>
    <w:uiPriority w:val="99"/>
    <w:semiHidden/>
    <w:rsid w:val="00EA410F"/>
    <w:rPr>
      <w:rFonts w:cs="Times New Roman"/>
      <w:i/>
      <w:iCs/>
    </w:rPr>
  </w:style>
  <w:style w:type="table" w:styleId="TableGrid">
    <w:name w:val="Table Grid"/>
    <w:basedOn w:val="TableNormal"/>
    <w:uiPriority w:val="99"/>
    <w:locked/>
    <w:rsid w:val="00B8506C"/>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8160D6"/>
    <w:pPr>
      <w:tabs>
        <w:tab w:val="center" w:pos="4819"/>
        <w:tab w:val="right" w:pos="9638"/>
      </w:tabs>
      <w:spacing w:after="0" w:line="240" w:lineRule="auto"/>
    </w:pPr>
  </w:style>
  <w:style w:type="character" w:customStyle="1" w:styleId="HeaderChar">
    <w:name w:val="Header Char"/>
    <w:basedOn w:val="DefaultParagraphFont"/>
    <w:link w:val="Header"/>
    <w:uiPriority w:val="99"/>
    <w:locked/>
    <w:rsid w:val="008160D6"/>
    <w:rPr>
      <w:rFonts w:cs="Times New Roman"/>
      <w:lang w:eastAsia="en-US"/>
    </w:rPr>
  </w:style>
  <w:style w:type="paragraph" w:styleId="Footer">
    <w:name w:val="footer"/>
    <w:basedOn w:val="Normal"/>
    <w:link w:val="FooterChar"/>
    <w:uiPriority w:val="99"/>
    <w:rsid w:val="008160D6"/>
    <w:pPr>
      <w:tabs>
        <w:tab w:val="center" w:pos="4819"/>
        <w:tab w:val="right" w:pos="9638"/>
      </w:tabs>
      <w:spacing w:after="0" w:line="240" w:lineRule="auto"/>
    </w:pPr>
  </w:style>
  <w:style w:type="character" w:customStyle="1" w:styleId="FooterChar">
    <w:name w:val="Footer Char"/>
    <w:basedOn w:val="DefaultParagraphFont"/>
    <w:link w:val="Footer"/>
    <w:uiPriority w:val="99"/>
    <w:locked/>
    <w:rsid w:val="008160D6"/>
    <w:rPr>
      <w:rFonts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endnote reference" w:uiPriority="0"/>
    <w:lsdException w:name="endnote text"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995"/>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537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53793"/>
    <w:rPr>
      <w:rFonts w:ascii="Tahoma" w:hAnsi="Tahoma" w:cs="Tahoma"/>
      <w:sz w:val="16"/>
      <w:szCs w:val="16"/>
    </w:rPr>
  </w:style>
  <w:style w:type="paragraph" w:styleId="ListParagraph">
    <w:name w:val="List Paragraph"/>
    <w:basedOn w:val="Normal"/>
    <w:uiPriority w:val="99"/>
    <w:qFormat/>
    <w:rsid w:val="002E2F52"/>
    <w:pPr>
      <w:ind w:left="720"/>
      <w:contextualSpacing/>
    </w:pPr>
  </w:style>
  <w:style w:type="character" w:styleId="CommentReference">
    <w:name w:val="annotation reference"/>
    <w:basedOn w:val="DefaultParagraphFont"/>
    <w:uiPriority w:val="99"/>
    <w:semiHidden/>
    <w:rsid w:val="00B0617D"/>
    <w:rPr>
      <w:rFonts w:cs="Times New Roman"/>
      <w:sz w:val="16"/>
      <w:szCs w:val="16"/>
    </w:rPr>
  </w:style>
  <w:style w:type="paragraph" w:styleId="CommentText">
    <w:name w:val="annotation text"/>
    <w:basedOn w:val="Normal"/>
    <w:link w:val="CommentTextChar"/>
    <w:uiPriority w:val="99"/>
    <w:semiHidden/>
    <w:rsid w:val="00B0617D"/>
    <w:pPr>
      <w:spacing w:line="240" w:lineRule="auto"/>
    </w:pPr>
    <w:rPr>
      <w:sz w:val="20"/>
      <w:szCs w:val="20"/>
    </w:rPr>
  </w:style>
  <w:style w:type="character" w:customStyle="1" w:styleId="CommentTextChar">
    <w:name w:val="Comment Text Char"/>
    <w:basedOn w:val="DefaultParagraphFont"/>
    <w:link w:val="CommentText"/>
    <w:uiPriority w:val="99"/>
    <w:semiHidden/>
    <w:locked/>
    <w:rsid w:val="00B0617D"/>
    <w:rPr>
      <w:rFonts w:cs="Times New Roman"/>
      <w:sz w:val="20"/>
      <w:szCs w:val="20"/>
    </w:rPr>
  </w:style>
  <w:style w:type="paragraph" w:styleId="EndnoteText">
    <w:name w:val="endnote text"/>
    <w:basedOn w:val="Normal"/>
    <w:link w:val="EndnoteTextChar"/>
    <w:semiHidden/>
    <w:rsid w:val="00B0617D"/>
    <w:pPr>
      <w:spacing w:after="0" w:line="240" w:lineRule="auto"/>
    </w:pPr>
    <w:rPr>
      <w:sz w:val="20"/>
      <w:szCs w:val="20"/>
    </w:rPr>
  </w:style>
  <w:style w:type="character" w:customStyle="1" w:styleId="EndnoteTextChar">
    <w:name w:val="Endnote Text Char"/>
    <w:basedOn w:val="DefaultParagraphFont"/>
    <w:link w:val="EndnoteText"/>
    <w:semiHidden/>
    <w:locked/>
    <w:rsid w:val="00B0617D"/>
    <w:rPr>
      <w:rFonts w:cs="Times New Roman"/>
      <w:sz w:val="20"/>
      <w:szCs w:val="20"/>
    </w:rPr>
  </w:style>
  <w:style w:type="character" w:styleId="EndnoteReference">
    <w:name w:val="endnote reference"/>
    <w:basedOn w:val="DefaultParagraphFont"/>
    <w:semiHidden/>
    <w:rsid w:val="00B0617D"/>
    <w:rPr>
      <w:rFonts w:cs="Times New Roman"/>
      <w:vertAlign w:val="superscript"/>
    </w:rPr>
  </w:style>
  <w:style w:type="paragraph" w:styleId="CommentSubject">
    <w:name w:val="annotation subject"/>
    <w:basedOn w:val="CommentText"/>
    <w:next w:val="CommentText"/>
    <w:link w:val="CommentSubjectChar"/>
    <w:uiPriority w:val="99"/>
    <w:semiHidden/>
    <w:rsid w:val="00C70B67"/>
    <w:rPr>
      <w:b/>
      <w:bCs/>
    </w:rPr>
  </w:style>
  <w:style w:type="character" w:customStyle="1" w:styleId="CommentSubjectChar">
    <w:name w:val="Comment Subject Char"/>
    <w:basedOn w:val="CommentTextChar"/>
    <w:link w:val="CommentSubject"/>
    <w:uiPriority w:val="99"/>
    <w:semiHidden/>
    <w:locked/>
    <w:rsid w:val="00C70B67"/>
    <w:rPr>
      <w:rFonts w:cs="Times New Roman"/>
      <w:b/>
      <w:bCs/>
      <w:sz w:val="20"/>
      <w:szCs w:val="20"/>
    </w:rPr>
  </w:style>
  <w:style w:type="character" w:customStyle="1" w:styleId="FootnoteTextChar">
    <w:name w:val="Footnote Text Char"/>
    <w:uiPriority w:val="99"/>
    <w:semiHidden/>
    <w:locked/>
    <w:rsid w:val="007E2E91"/>
    <w:rPr>
      <w:rFonts w:ascii="Calibri" w:hAnsi="Calibri"/>
      <w:lang w:val="en-GB" w:eastAsia="en-US"/>
    </w:rPr>
  </w:style>
  <w:style w:type="paragraph" w:styleId="FootnoteText">
    <w:name w:val="footnote text"/>
    <w:basedOn w:val="Normal"/>
    <w:link w:val="FootnoteTextChar1"/>
    <w:uiPriority w:val="99"/>
    <w:semiHidden/>
    <w:rsid w:val="007E2E91"/>
    <w:rPr>
      <w:sz w:val="20"/>
      <w:szCs w:val="20"/>
    </w:rPr>
  </w:style>
  <w:style w:type="character" w:customStyle="1" w:styleId="FootnoteTextChar1">
    <w:name w:val="Footnote Text Char1"/>
    <w:basedOn w:val="DefaultParagraphFont"/>
    <w:link w:val="FootnoteText"/>
    <w:uiPriority w:val="99"/>
    <w:semiHidden/>
    <w:locked/>
    <w:rsid w:val="00FB0E1A"/>
    <w:rPr>
      <w:rFonts w:cs="Times New Roman"/>
      <w:sz w:val="20"/>
      <w:szCs w:val="20"/>
      <w:lang w:eastAsia="en-US"/>
    </w:rPr>
  </w:style>
  <w:style w:type="character" w:styleId="FootnoteReference">
    <w:name w:val="footnote reference"/>
    <w:basedOn w:val="DefaultParagraphFont"/>
    <w:uiPriority w:val="99"/>
    <w:semiHidden/>
    <w:rsid w:val="007E2E91"/>
    <w:rPr>
      <w:rFonts w:ascii="Times New Roman" w:hAnsi="Times New Roman" w:cs="Times New Roman"/>
      <w:vertAlign w:val="superscript"/>
    </w:rPr>
  </w:style>
  <w:style w:type="paragraph" w:styleId="NormalWeb">
    <w:name w:val="Normal (Web)"/>
    <w:basedOn w:val="Normal"/>
    <w:uiPriority w:val="99"/>
    <w:rsid w:val="00DE1607"/>
    <w:pPr>
      <w:spacing w:before="100" w:beforeAutospacing="1" w:after="100" w:afterAutospacing="1" w:line="240" w:lineRule="auto"/>
    </w:pPr>
    <w:rPr>
      <w:rFonts w:ascii="Times New Roman" w:hAnsi="Times New Roman"/>
      <w:sz w:val="24"/>
      <w:szCs w:val="24"/>
      <w:lang w:eastAsia="en-GB"/>
    </w:rPr>
  </w:style>
  <w:style w:type="character" w:customStyle="1" w:styleId="normal--char">
    <w:name w:val="normal--char"/>
    <w:basedOn w:val="DefaultParagraphFont"/>
    <w:uiPriority w:val="99"/>
    <w:rsid w:val="00E72A5F"/>
    <w:rPr>
      <w:rFonts w:cs="Times New Roman"/>
    </w:rPr>
  </w:style>
  <w:style w:type="character" w:styleId="Hyperlink">
    <w:name w:val="Hyperlink"/>
    <w:basedOn w:val="DefaultParagraphFont"/>
    <w:uiPriority w:val="99"/>
    <w:rsid w:val="003D79A2"/>
    <w:rPr>
      <w:rFonts w:cs="Times New Roman"/>
      <w:color w:val="0000FF"/>
      <w:u w:val="single"/>
    </w:rPr>
  </w:style>
  <w:style w:type="paragraph" w:styleId="BodyTextIndent2">
    <w:name w:val="Body Text Indent 2"/>
    <w:basedOn w:val="Normal"/>
    <w:link w:val="BodyTextIndent2Char"/>
    <w:uiPriority w:val="99"/>
    <w:rsid w:val="00FA65BA"/>
    <w:pPr>
      <w:spacing w:after="0" w:line="240" w:lineRule="auto"/>
      <w:ind w:firstLine="540"/>
      <w:jc w:val="both"/>
    </w:pPr>
    <w:rPr>
      <w:rFonts w:ascii="Arial" w:eastAsia="Times New Roman" w:hAnsi="Arial" w:cs="Arial"/>
      <w:b/>
      <w:bCs/>
      <w:sz w:val="24"/>
      <w:szCs w:val="24"/>
      <w:lang w:val="es-ES" w:eastAsia="es-ES"/>
    </w:rPr>
  </w:style>
  <w:style w:type="character" w:customStyle="1" w:styleId="BodyTextIndent2Char">
    <w:name w:val="Body Text Indent 2 Char"/>
    <w:basedOn w:val="DefaultParagraphFont"/>
    <w:link w:val="BodyTextIndent2"/>
    <w:uiPriority w:val="99"/>
    <w:locked/>
    <w:rsid w:val="00FA65BA"/>
    <w:rPr>
      <w:rFonts w:ascii="Arial" w:hAnsi="Arial" w:cs="Arial"/>
      <w:b/>
      <w:bCs/>
      <w:sz w:val="24"/>
      <w:szCs w:val="24"/>
      <w:lang w:val="es-ES" w:eastAsia="es-ES"/>
    </w:rPr>
  </w:style>
  <w:style w:type="character" w:styleId="HTMLCite">
    <w:name w:val="HTML Cite"/>
    <w:basedOn w:val="DefaultParagraphFont"/>
    <w:uiPriority w:val="99"/>
    <w:semiHidden/>
    <w:rsid w:val="00EA410F"/>
    <w:rPr>
      <w:rFonts w:cs="Times New Roman"/>
      <w:i/>
      <w:iCs/>
    </w:rPr>
  </w:style>
  <w:style w:type="table" w:styleId="TableGrid">
    <w:name w:val="Table Grid"/>
    <w:basedOn w:val="TableNormal"/>
    <w:uiPriority w:val="99"/>
    <w:locked/>
    <w:rsid w:val="00B8506C"/>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8160D6"/>
    <w:pPr>
      <w:tabs>
        <w:tab w:val="center" w:pos="4819"/>
        <w:tab w:val="right" w:pos="9638"/>
      </w:tabs>
      <w:spacing w:after="0" w:line="240" w:lineRule="auto"/>
    </w:pPr>
  </w:style>
  <w:style w:type="character" w:customStyle="1" w:styleId="HeaderChar">
    <w:name w:val="Header Char"/>
    <w:basedOn w:val="DefaultParagraphFont"/>
    <w:link w:val="Header"/>
    <w:uiPriority w:val="99"/>
    <w:locked/>
    <w:rsid w:val="008160D6"/>
    <w:rPr>
      <w:rFonts w:cs="Times New Roman"/>
      <w:lang w:eastAsia="en-US"/>
    </w:rPr>
  </w:style>
  <w:style w:type="paragraph" w:styleId="Footer">
    <w:name w:val="footer"/>
    <w:basedOn w:val="Normal"/>
    <w:link w:val="FooterChar"/>
    <w:uiPriority w:val="99"/>
    <w:rsid w:val="008160D6"/>
    <w:pPr>
      <w:tabs>
        <w:tab w:val="center" w:pos="4819"/>
        <w:tab w:val="right" w:pos="9638"/>
      </w:tabs>
      <w:spacing w:after="0" w:line="240" w:lineRule="auto"/>
    </w:pPr>
  </w:style>
  <w:style w:type="character" w:customStyle="1" w:styleId="FooterChar">
    <w:name w:val="Footer Char"/>
    <w:basedOn w:val="DefaultParagraphFont"/>
    <w:link w:val="Footer"/>
    <w:uiPriority w:val="99"/>
    <w:locked/>
    <w:rsid w:val="008160D6"/>
    <w:rPr>
      <w:rFonts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78190">
      <w:marLeft w:val="0"/>
      <w:marRight w:val="0"/>
      <w:marTop w:val="0"/>
      <w:marBottom w:val="0"/>
      <w:divBdr>
        <w:top w:val="none" w:sz="0" w:space="0" w:color="auto"/>
        <w:left w:val="none" w:sz="0" w:space="0" w:color="auto"/>
        <w:bottom w:val="none" w:sz="0" w:space="0" w:color="auto"/>
        <w:right w:val="none" w:sz="0" w:space="0" w:color="auto"/>
      </w:divBdr>
    </w:div>
    <w:div w:id="106792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bourne@ruc.d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42013-68E4-42AA-9810-13A382B52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11644</Words>
  <Characters>65685</Characters>
  <Application>Microsoft Office Word</Application>
  <DocSecurity>0</DocSecurity>
  <Lines>547</Lines>
  <Paragraphs>154</Paragraphs>
  <ScaleCrop>false</ScaleCrop>
  <HeadingPairs>
    <vt:vector size="2" baseType="variant">
      <vt:variant>
        <vt:lpstr>Title</vt:lpstr>
      </vt:variant>
      <vt:variant>
        <vt:i4>1</vt:i4>
      </vt:variant>
    </vt:vector>
  </HeadingPairs>
  <TitlesOfParts>
    <vt:vector size="1" baseType="lpstr">
      <vt:lpstr>Party bans and peace processes: The case of Batasuna and Sinn Féin</vt:lpstr>
    </vt:vector>
  </TitlesOfParts>
  <Company>ISG, Roskilde universitetscenter</Company>
  <LinksUpToDate>false</LinksUpToDate>
  <CharactersWithSpaces>77175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Party bans and peace processes: The case of Batasuna and Sinn Féin</dc:title>
  <dc:subject/>
  <dc:creator>bourne</dc:creator>
  <cp:keywords/>
  <dc:description/>
  <cp:lastModifiedBy>bourne</cp:lastModifiedBy>
  <cp:revision>2</cp:revision>
  <cp:lastPrinted>2012-09-07T13:07:00Z</cp:lastPrinted>
  <dcterms:created xsi:type="dcterms:W3CDTF">2012-09-10T08:15:00Z</dcterms:created>
  <dcterms:modified xsi:type="dcterms:W3CDTF">2012-09-10T08:15:00Z</dcterms:modified>
</cp:coreProperties>
</file>